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8A3BA4">
        <w:rPr>
          <w:rFonts w:ascii="Times New Roman" w:hAnsi="Times New Roman"/>
          <w:b/>
        </w:rPr>
        <w:t xml:space="preserve"> </w:t>
      </w:r>
    </w:p>
    <w:p w:rsidR="00B5179B" w:rsidRPr="008663D7" w:rsidRDefault="00B5179B" w:rsidP="00B5179B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663D7">
        <w:rPr>
          <w:rFonts w:ascii="Times New Roman" w:eastAsia="Times New Roman" w:hAnsi="Times New Roman"/>
          <w:b/>
          <w:bCs/>
          <w:lang w:eastAsia="ru-RU"/>
        </w:rPr>
        <w:t>код ДК 021:2015 33690000-3 — Лікарські засоби різні</w:t>
      </w:r>
    </w:p>
    <w:p w:rsidR="00923874" w:rsidRPr="001151BB" w:rsidRDefault="003259A9" w:rsidP="00B5179B">
      <w:pPr>
        <w:snapToGrid w:val="0"/>
        <w:jc w:val="center"/>
        <w:rPr>
          <w:rFonts w:ascii="Times New Roman" w:hAnsi="Times New Roman"/>
          <w:b/>
        </w:rPr>
      </w:pPr>
      <w:r w:rsidRPr="008B1E66">
        <w:rPr>
          <w:rFonts w:ascii="Times New Roman" w:hAnsi="Times New Roman"/>
          <w:b/>
          <w:i/>
          <w:color w:val="000000"/>
          <w:lang w:eastAsia="uk-UA"/>
        </w:rPr>
        <w:t>Розчин ізотонічний;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Лізуючий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розчин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Розчин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для промивання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  <w:lang w:eastAsia="uk-UA"/>
        </w:rPr>
        <w:t>Концентрований розчин для промивання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</w:rPr>
        <w:t>Розчин для очистки</w:t>
      </w:r>
      <w:r w:rsidRPr="00654FA6">
        <w:rPr>
          <w:rFonts w:ascii="Times New Roman" w:hAnsi="Times New Roman"/>
          <w:b/>
          <w:bCs/>
          <w:i/>
          <w:lang w:eastAsia="ru-RU"/>
        </w:rPr>
        <w:t>;</w:t>
      </w:r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Матеріал контролю гематологічний атестований багато параметричний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Para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12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Extend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: 1 x 2.5 </w:t>
      </w:r>
      <w:proofErr w:type="spellStart"/>
      <w:r w:rsidRPr="008B1E66">
        <w:rPr>
          <w:rFonts w:ascii="Times New Roman" w:hAnsi="Times New Roman"/>
          <w:b/>
          <w:i/>
          <w:color w:val="000000"/>
          <w:lang w:eastAsia="uk-UA"/>
        </w:rPr>
        <w:t>мл</w:t>
      </w:r>
      <w:proofErr w:type="spellEnd"/>
      <w:r w:rsidRPr="008B1E66">
        <w:rPr>
          <w:rFonts w:ascii="Times New Roman" w:hAnsi="Times New Roman"/>
          <w:b/>
          <w:i/>
          <w:color w:val="000000"/>
          <w:lang w:eastAsia="uk-UA"/>
        </w:rPr>
        <w:t xml:space="preserve"> (1 Норма);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Промиваючий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розчин: Набір для виявлення сумарних антитіл до вірусу гепатиту C ;  Набір для виявлення поверхневого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антигена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вірусу гепатиту В; </w:t>
      </w:r>
      <w:r w:rsidRPr="008B1E66">
        <w:rPr>
          <w:rFonts w:ascii="Times New Roman" w:hAnsi="Times New Roman"/>
          <w:b/>
          <w:i/>
          <w:color w:val="000000"/>
        </w:rPr>
        <w:t xml:space="preserve">Набір </w:t>
      </w:r>
      <w:r w:rsidRPr="00654FA6">
        <w:rPr>
          <w:rFonts w:ascii="Times New Roman" w:hAnsi="Times New Roman"/>
          <w:b/>
          <w:i/>
          <w:lang w:eastAsia="uk-UA"/>
        </w:rPr>
        <w:t xml:space="preserve">для якісного виявлення антитіл до вірусу гепатиту A;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ІФА-набір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для якісного виявлення сумарних антитіл до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Helicobacter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pylori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Pr="008B1E66">
        <w:rPr>
          <w:rFonts w:ascii="Times New Roman" w:hAnsi="Times New Roman"/>
          <w:b/>
          <w:i/>
          <w:color w:val="000000"/>
        </w:rPr>
        <w:t>ІФА набір (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Аnti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Tr</w:t>
      </w:r>
      <w:r w:rsidR="00CE0927" w:rsidRPr="008B1E66">
        <w:rPr>
          <w:rFonts w:ascii="Times New Roman" w:hAnsi="Times New Roman"/>
          <w:b/>
          <w:i/>
          <w:color w:val="000000"/>
        </w:rPr>
        <w:t>e</w:t>
      </w:r>
      <w:r w:rsidRPr="008B1E66">
        <w:rPr>
          <w:rFonts w:ascii="Times New Roman" w:hAnsi="Times New Roman"/>
          <w:b/>
          <w:i/>
          <w:color w:val="000000"/>
        </w:rPr>
        <w:t>ponema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8B1E66">
        <w:rPr>
          <w:rFonts w:ascii="Times New Roman" w:hAnsi="Times New Roman"/>
          <w:b/>
          <w:i/>
          <w:color w:val="000000"/>
        </w:rPr>
        <w:t>pallidum</w:t>
      </w:r>
      <w:proofErr w:type="spellEnd"/>
      <w:r w:rsidRPr="008B1E66">
        <w:rPr>
          <w:rFonts w:ascii="Times New Roman" w:hAnsi="Times New Roman"/>
          <w:b/>
          <w:i/>
          <w:color w:val="000000"/>
        </w:rPr>
        <w:t>)</w:t>
      </w:r>
      <w:r w:rsidRPr="00654FA6">
        <w:rPr>
          <w:rFonts w:ascii="Times New Roman" w:hAnsi="Times New Roman"/>
          <w:b/>
          <w:bCs/>
          <w:i/>
          <w:lang w:eastAsia="ru-RU"/>
        </w:rPr>
        <w:t xml:space="preserve"> 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Протромбіновий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Фібріноген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Тромбіновий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 ; Активований частковий </w:t>
      </w:r>
      <w:proofErr w:type="spellStart"/>
      <w:r w:rsidRPr="00654FA6">
        <w:rPr>
          <w:rFonts w:ascii="Times New Roman" w:hAnsi="Times New Roman"/>
          <w:b/>
          <w:bCs/>
          <w:i/>
          <w:lang w:eastAsia="ru-RU"/>
        </w:rPr>
        <w:t>тромбопластиновий</w:t>
      </w:r>
      <w:proofErr w:type="spellEnd"/>
      <w:r w:rsidRPr="00654FA6">
        <w:rPr>
          <w:rFonts w:ascii="Times New Roman" w:hAnsi="Times New Roman"/>
          <w:b/>
          <w:bCs/>
          <w:i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розчин; Спеціальний очисний розчин;  </w:t>
      </w:r>
      <w:r w:rsidRPr="008B1E66">
        <w:rPr>
          <w:rFonts w:ascii="Times New Roman" w:hAnsi="Times New Roman"/>
          <w:b/>
          <w:bCs/>
          <w:i/>
          <w:color w:val="000000"/>
        </w:rPr>
        <w:t xml:space="preserve">Набір для </w:t>
      </w:r>
      <w:proofErr w:type="spellStart"/>
      <w:r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Pr="008B1E66">
        <w:rPr>
          <w:rFonts w:ascii="Times New Roman" w:hAnsi="Times New Roman"/>
          <w:b/>
          <w:bCs/>
          <w:i/>
          <w:color w:val="000000"/>
        </w:rPr>
        <w:t xml:space="preserve"> визначення загального простатичного специфічного антигену в сироватці (плазмі) крові; Набір для </w:t>
      </w:r>
      <w:proofErr w:type="spellStart"/>
      <w:r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Pr="008B1E66">
        <w:rPr>
          <w:rFonts w:ascii="Times New Roman" w:hAnsi="Times New Roman"/>
          <w:b/>
          <w:bCs/>
          <w:i/>
          <w:color w:val="000000"/>
        </w:rPr>
        <w:t xml:space="preserve"> визначення вільного  простатичного специфічного антигену в сироватці (плазмі) кров; Набір реагентів для одночасного виявлення антитіл до ВІЛ 1/2 та антигену ВІЛ1</w:t>
      </w:r>
      <w:r w:rsidR="00507157" w:rsidRPr="001151BB">
        <w:rPr>
          <w:rFonts w:ascii="Times New Roman" w:hAnsi="Times New Roman"/>
          <w:b/>
        </w:rPr>
        <w:t xml:space="preserve"> </w:t>
      </w:r>
    </w:p>
    <w:p w:rsidR="00F30484" w:rsidRPr="00507157" w:rsidRDefault="005E5A66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  <w:hyperlink r:id="rId6" w:history="1">
        <w:r w:rsidR="00EB71C8">
          <w:rPr>
            <w:rFonts w:ascii="Verdana" w:hAnsi="Verdana"/>
            <w:color w:val="0000FF"/>
            <w:sz w:val="17"/>
            <w:szCs w:val="17"/>
            <w:u w:val="single"/>
          </w:rPr>
          <w:br/>
        </w:r>
      </w:hyperlink>
      <w:r w:rsidR="006F7382" w:rsidRPr="00507157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  <w:t xml:space="preserve"> </w:t>
      </w:r>
    </w:p>
    <w:p w:rsidR="001151BB" w:rsidRDefault="001151BB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507157" w:rsidRDefault="00507157" w:rsidP="00507157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:rsidR="001151BB" w:rsidRPr="001151BB" w:rsidRDefault="001151BB" w:rsidP="001151BB">
      <w:pPr>
        <w:pStyle w:val="ab"/>
        <w:widowControl w:val="0"/>
        <w:numPr>
          <w:ilvl w:val="0"/>
          <w:numId w:val="4"/>
        </w:numPr>
        <w:suppressAutoHyphens/>
        <w:ind w:left="284" w:firstLine="76"/>
        <w:jc w:val="both"/>
        <w:textAlignment w:val="baseline"/>
        <w:rPr>
          <w:rFonts w:ascii="Times New Roman" w:hAnsi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="00B5179B" w:rsidRPr="00B5179B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Розчин ізотонічний;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Лізуючий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розчин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Розчин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для промивання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Концентрований розчин для промивання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</w:rPr>
        <w:t>Розчин для очистки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>;</w:t>
      </w:r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Матеріал контролю гематологічний атестований багато параметричний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Para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12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Extend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: 1 x 2.5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>мл</w:t>
      </w:r>
      <w:proofErr w:type="spellEnd"/>
      <w:r w:rsidR="003259A9" w:rsidRPr="008B1E66">
        <w:rPr>
          <w:rFonts w:ascii="Times New Roman" w:hAnsi="Times New Roman"/>
          <w:b/>
          <w:i/>
          <w:color w:val="000000"/>
          <w:lang w:eastAsia="uk-UA"/>
        </w:rPr>
        <w:t xml:space="preserve"> (1 Норма);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Промиваючий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розчин: Набір для виявлення сумарних антитіл до вірусу гепатиту C ;  Набір для виявлення поверхневого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антигена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вірусу гепатиту В; </w:t>
      </w:r>
      <w:r w:rsidR="003259A9" w:rsidRPr="008B1E66">
        <w:rPr>
          <w:rFonts w:ascii="Times New Roman" w:hAnsi="Times New Roman"/>
          <w:b/>
          <w:i/>
          <w:color w:val="000000"/>
        </w:rPr>
        <w:t xml:space="preserve">Набір </w:t>
      </w:r>
      <w:r w:rsidR="003259A9" w:rsidRPr="00654FA6">
        <w:rPr>
          <w:rFonts w:ascii="Times New Roman" w:hAnsi="Times New Roman"/>
          <w:b/>
          <w:i/>
          <w:lang w:eastAsia="uk-UA"/>
        </w:rPr>
        <w:t xml:space="preserve">для якісного виявлення антитіл до вірусу гепатиту A;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ІФА-набір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для якісного виявлення сумарних антитіл до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Helicobacter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pylori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r w:rsidR="003259A9" w:rsidRPr="008B1E66">
        <w:rPr>
          <w:rFonts w:ascii="Times New Roman" w:hAnsi="Times New Roman"/>
          <w:b/>
          <w:i/>
          <w:color w:val="000000"/>
        </w:rPr>
        <w:t>ІФА набір (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Аnti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Tr</w:t>
      </w:r>
      <w:r w:rsidR="00CE0927" w:rsidRPr="008B1E66">
        <w:rPr>
          <w:rFonts w:ascii="Times New Roman" w:hAnsi="Times New Roman"/>
          <w:b/>
          <w:i/>
          <w:color w:val="000000"/>
        </w:rPr>
        <w:t>e</w:t>
      </w:r>
      <w:r w:rsidR="003259A9" w:rsidRPr="008B1E66">
        <w:rPr>
          <w:rFonts w:ascii="Times New Roman" w:hAnsi="Times New Roman"/>
          <w:b/>
          <w:i/>
          <w:color w:val="000000"/>
        </w:rPr>
        <w:t>ponema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="003259A9" w:rsidRPr="008B1E66">
        <w:rPr>
          <w:rFonts w:ascii="Times New Roman" w:hAnsi="Times New Roman"/>
          <w:b/>
          <w:i/>
          <w:color w:val="000000"/>
        </w:rPr>
        <w:t>pallidum</w:t>
      </w:r>
      <w:proofErr w:type="spellEnd"/>
      <w:r w:rsidR="003259A9" w:rsidRPr="008B1E66">
        <w:rPr>
          <w:rFonts w:ascii="Times New Roman" w:hAnsi="Times New Roman"/>
          <w:b/>
          <w:i/>
          <w:color w:val="000000"/>
        </w:rPr>
        <w:t>)</w:t>
      </w:r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Протромбіновий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Фібріноген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;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Тромбіновий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 ; Активований частковий </w:t>
      </w:r>
      <w:proofErr w:type="spellStart"/>
      <w:r w:rsidR="003259A9" w:rsidRPr="00654FA6">
        <w:rPr>
          <w:rFonts w:ascii="Times New Roman" w:hAnsi="Times New Roman"/>
          <w:b/>
          <w:bCs/>
          <w:i/>
          <w:lang w:eastAsia="ru-RU"/>
        </w:rPr>
        <w:t>тромбопластиновий</w:t>
      </w:r>
      <w:proofErr w:type="spellEnd"/>
      <w:r w:rsidR="003259A9" w:rsidRPr="00654FA6">
        <w:rPr>
          <w:rFonts w:ascii="Times New Roman" w:hAnsi="Times New Roman"/>
          <w:b/>
          <w:bCs/>
          <w:i/>
          <w:lang w:eastAsia="ru-RU"/>
        </w:rPr>
        <w:t xml:space="preserve"> час ; Нормальна контрольна плазма (NCP); Патологічна контрольна плазма (ANCP); Універсальний промивний розчин; Спеціальний очисний розчин;  </w:t>
      </w:r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Набір для </w:t>
      </w:r>
      <w:proofErr w:type="spellStart"/>
      <w:r w:rsidR="003259A9"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 визначення загального простатичного специфічного антигену в сироватці (плазмі) крові; Набір для </w:t>
      </w:r>
      <w:proofErr w:type="spellStart"/>
      <w:r w:rsidR="003259A9" w:rsidRPr="008B1E66">
        <w:rPr>
          <w:rFonts w:ascii="Times New Roman" w:hAnsi="Times New Roman"/>
          <w:b/>
          <w:bCs/>
          <w:i/>
          <w:color w:val="000000"/>
        </w:rPr>
        <w:t>імуноферментного</w:t>
      </w:r>
      <w:proofErr w:type="spellEnd"/>
      <w:r w:rsidR="003259A9" w:rsidRPr="008B1E66">
        <w:rPr>
          <w:rFonts w:ascii="Times New Roman" w:hAnsi="Times New Roman"/>
          <w:b/>
          <w:bCs/>
          <w:i/>
          <w:color w:val="000000"/>
        </w:rPr>
        <w:t xml:space="preserve"> визначення вільного  простатичного специфічного антигену в сироватці (плазмі) кров; Набір реагентів для одночасного виявлення антитіл до ВІЛ 1/2 та антигену ВІЛ1</w:t>
      </w:r>
    </w:p>
    <w:p w:rsidR="00923874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</w:pPr>
      <w:r>
        <w:rPr>
          <w:rFonts w:ascii="Times New Roman" w:hAnsi="Times New Roman"/>
          <w:color w:val="000000"/>
          <w:highlight w:val="white"/>
        </w:rPr>
        <w:t xml:space="preserve">Кількість </w:t>
      </w:r>
      <w:r>
        <w:rPr>
          <w:rFonts w:ascii="Times New Roman" w:hAnsi="Times New Roman"/>
          <w:color w:val="000000"/>
          <w:highlight w:val="white"/>
          <w:u w:val="single"/>
        </w:rPr>
        <w:t>товару</w:t>
      </w:r>
      <w:r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>
        <w:rPr>
          <w:i/>
          <w:iCs/>
          <w:sz w:val="22"/>
          <w:szCs w:val="22"/>
        </w:rPr>
        <w:t>103 набір; 122 штук</w:t>
      </w:r>
    </w:p>
    <w:p w:rsidR="00447F38" w:rsidRDefault="00BC0FFF" w:rsidP="005679CD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426D26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426D26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426D26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3259A9" w:rsidRPr="008B1E66">
        <w:rPr>
          <w:rFonts w:ascii="Times New Roman" w:hAnsi="Times New Roman"/>
          <w:i/>
          <w:iCs/>
        </w:rPr>
        <w:t>61172, Україна , Харківська обл., Харків, ВУЛИЦЯ РОГАНСЬКА, будинок 130 А</w:t>
      </w:r>
      <w:r w:rsidR="00426D26" w:rsidRPr="008A3BA4">
        <w:rPr>
          <w:rFonts w:ascii="Times New Roman" w:hAnsi="Times New Roman"/>
          <w:i/>
        </w:rPr>
        <w:t xml:space="preserve"> </w:t>
      </w:r>
    </w:p>
    <w:p w:rsidR="00923874" w:rsidRPr="005679CD" w:rsidRDefault="00BC0FFF" w:rsidP="005679CD">
      <w:pPr>
        <w:pStyle w:val="ab"/>
        <w:numPr>
          <w:ilvl w:val="0"/>
          <w:numId w:val="4"/>
        </w:numPr>
        <w:spacing w:after="0"/>
        <w:ind w:left="284" w:firstLine="74"/>
        <w:jc w:val="both"/>
        <w:rPr>
          <w:rFonts w:ascii="Times New Roman" w:hAnsi="Times New Roman"/>
          <w:i/>
        </w:rPr>
      </w:pPr>
      <w:r w:rsidRPr="005679C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5679C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5679C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426D26" w:rsidRPr="005679CD">
        <w:rPr>
          <w:rFonts w:ascii="Times New Roman" w:eastAsia="Times New Roman" w:hAnsi="Times New Roman" w:cs="Times New Roman"/>
        </w:rPr>
        <w:t>До  31 грудня 202</w:t>
      </w:r>
      <w:r w:rsidR="003259A9">
        <w:rPr>
          <w:rFonts w:ascii="Times New Roman" w:eastAsia="Times New Roman" w:hAnsi="Times New Roman" w:cs="Times New Roman"/>
        </w:rPr>
        <w:t>5</w:t>
      </w:r>
      <w:r w:rsidR="00426D26" w:rsidRPr="005679CD">
        <w:rPr>
          <w:rFonts w:ascii="Times New Roman" w:eastAsia="Times New Roman" w:hAnsi="Times New Roman" w:cs="Times New Roman"/>
        </w:rPr>
        <w:t xml:space="preserve"> року</w:t>
      </w:r>
    </w:p>
    <w:p w:rsidR="00923874" w:rsidRPr="005679CD" w:rsidRDefault="00BC0FFF" w:rsidP="005679CD">
      <w:pPr>
        <w:pStyle w:val="ShiftAlt"/>
        <w:numPr>
          <w:ilvl w:val="0"/>
          <w:numId w:val="4"/>
        </w:numPr>
        <w:tabs>
          <w:tab w:val="left" w:pos="709"/>
        </w:tabs>
        <w:spacing w:line="240" w:lineRule="auto"/>
        <w:ind w:left="284" w:firstLine="74"/>
        <w:jc w:val="left"/>
      </w:pPr>
      <w:r w:rsidRPr="005679C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B5179B">
        <w:rPr>
          <w:i/>
          <w:szCs w:val="24"/>
        </w:rPr>
        <w:t>Власні кошти</w:t>
      </w:r>
      <w:r w:rsidRPr="005679CD">
        <w:rPr>
          <w:rStyle w:val="rvts0"/>
          <w:iCs/>
          <w:szCs w:val="24"/>
          <w:highlight w:val="white"/>
        </w:rPr>
        <w:t>.</w:t>
      </w:r>
    </w:p>
    <w:p w:rsidR="00923874" w:rsidRPr="005679CD" w:rsidRDefault="00BC0FFF" w:rsidP="005679CD">
      <w:pPr>
        <w:pStyle w:val="ab"/>
        <w:shd w:val="clear" w:color="auto" w:fill="FFFFFF"/>
        <w:suppressAutoHyphens/>
        <w:spacing w:after="0"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5679CD" w:rsidRPr="005679CD" w:rsidRDefault="005679CD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 xml:space="preserve">Очікувана вартість </w:t>
      </w:r>
      <w:r w:rsidR="003259A9">
        <w:rPr>
          <w:rFonts w:ascii="Times New Roman" w:hAnsi="Times New Roman" w:cs="C059"/>
          <w:bCs/>
          <w:color w:val="000000"/>
        </w:rPr>
        <w:t>556</w:t>
      </w:r>
      <w:r w:rsidR="00B5179B">
        <w:rPr>
          <w:rFonts w:ascii="Times New Roman" w:hAnsi="Times New Roman"/>
          <w:i/>
        </w:rPr>
        <w:t xml:space="preserve"> 0</w:t>
      </w:r>
      <w:r w:rsidR="003259A9">
        <w:rPr>
          <w:rFonts w:ascii="Times New Roman" w:hAnsi="Times New Roman"/>
          <w:i/>
        </w:rPr>
        <w:t>4</w:t>
      </w:r>
      <w:r w:rsidR="00B5179B">
        <w:rPr>
          <w:rFonts w:ascii="Times New Roman" w:hAnsi="Times New Roman"/>
          <w:i/>
        </w:rPr>
        <w:t>0</w:t>
      </w:r>
      <w:r w:rsidR="001151BB" w:rsidRPr="006527DB">
        <w:rPr>
          <w:rFonts w:ascii="Times New Roman" w:hAnsi="Times New Roman"/>
          <w:i/>
        </w:rPr>
        <w:t>,00грн</w:t>
      </w:r>
    </w:p>
    <w:p w:rsidR="00923874" w:rsidRPr="005679CD" w:rsidRDefault="00BC0FFF" w:rsidP="005679CD">
      <w:pPr>
        <w:numPr>
          <w:ilvl w:val="0"/>
          <w:numId w:val="4"/>
        </w:numPr>
        <w:shd w:val="clear" w:color="auto" w:fill="FFFFFF"/>
        <w:suppressAutoHyphens/>
        <w:ind w:left="284" w:firstLine="74"/>
        <w:jc w:val="both"/>
        <w:rPr>
          <w:rFonts w:ascii="Times New Roman" w:hAnsi="Times New Roman"/>
        </w:rPr>
      </w:pPr>
      <w:r w:rsidRPr="005679C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8A3BA4" w:rsidRDefault="008A3BA4" w:rsidP="00447F38">
      <w:pPr>
        <w:pStyle w:val="Standard"/>
        <w:ind w:left="426" w:right="329" w:hanging="66"/>
        <w:jc w:val="center"/>
        <w:rPr>
          <w:rFonts w:cs="Times New Roman"/>
          <w:b/>
          <w:bCs/>
        </w:rPr>
      </w:pPr>
    </w:p>
    <w:p w:rsidR="006F06DD" w:rsidRDefault="006F06DD" w:rsidP="006F06DD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A2E7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ТЕХНІЧНІ ВИМОГИ:</w:t>
      </w:r>
    </w:p>
    <w:p w:rsidR="00CE0927" w:rsidRPr="004875BE" w:rsidRDefault="00CE0927" w:rsidP="00CE0927">
      <w:pPr>
        <w:pStyle w:val="af"/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</w:pPr>
      <w:r w:rsidRPr="004875BE">
        <w:rPr>
          <w:rFonts w:eastAsia="Times New Roman"/>
          <w:b/>
          <w:bCs/>
          <w:color w:val="000000" w:themeColor="text1"/>
          <w:sz w:val="22"/>
          <w:szCs w:val="22"/>
          <w:lang w:val="uk-UA" w:eastAsia="ru-RU"/>
        </w:rPr>
        <w:lastRenderedPageBreak/>
        <w:t xml:space="preserve">1. Кількісні та технічні  характеристики предмета закупівлі, інформація про відповідність товару, що пропонує  Учасник до постачання. </w:t>
      </w:r>
    </w:p>
    <w:p w:rsidR="00CE0927" w:rsidRPr="004875BE" w:rsidRDefault="00CE0927" w:rsidP="00CE0927">
      <w:pPr>
        <w:jc w:val="right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Таблиця №1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708"/>
        <w:gridCol w:w="4253"/>
        <w:gridCol w:w="1134"/>
      </w:tblGrid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ind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Класифікатор НК 024:2023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Назва товару, що вимагається Замовником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Од.виміру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ind w:left="-90" w:right="-97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Вимоги до технічних характеристик/перелік документів на підтвердження технічних, якісних вимог, що надаються в складі тендерної пропозиції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b/>
                <w:bCs/>
                <w:color w:val="000000" w:themeColor="text1"/>
              </w:rPr>
              <w:t>Кіль-ість</w:t>
            </w:r>
            <w:proofErr w:type="spellEnd"/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4875B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42651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Буферний ізотонічний сольовий розчин,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Розчин ізотонічний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Призначення: Для розведення</w:t>
            </w: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eastAsia="uk-UA"/>
              </w:rPr>
              <w:t xml:space="preserve"> </w:t>
            </w: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зразків крові людини при проведенні якісного і кількісного визначення  клітин у гематологічних аналізаторах</w:t>
            </w:r>
          </w:p>
          <w:p w:rsidR="00CE0927" w:rsidRPr="004875BE" w:rsidRDefault="00CE0927" w:rsidP="00CE0927">
            <w:pPr>
              <w:pStyle w:val="LO-normal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 : 20 л.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61165    Реагент для лізису клітин крові IVD 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Лізуючий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розчин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 Для руйнування еритроцитів крові при підрахунку лейкоцитів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л: 1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59058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Розчин для промивання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 Для очищення рідинно-провідних магістралей у гематологічних аналізаторах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л: 1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59058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напівавтоматизованих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Концентрований розчин для промивання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Призначення: Концентрований розчин для промивання це стабілізований і </w:t>
            </w:r>
            <w:proofErr w:type="spellStart"/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мікро-відфільтрований</w:t>
            </w:r>
            <w:proofErr w:type="spellEnd"/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 xml:space="preserve"> концентрований протеолітичний ферментативний розчин для постійного автоматичного очищення,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л : 0,05.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59058 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Мийний/очищувальний розчин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 для автоматизованих/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напівавтомати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lastRenderedPageBreak/>
              <w:t>зованих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систем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Розчин для очистки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Призначення: стабілізований і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мікро-відфільтрований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 концентрований розчин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гіпохлориту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 для інтенсивного очищення, полоскання і промивки капілярів, трубок і камер гематологічних аналізаторів. Знімає залишок крові і опади ліпопротеїдів на гематологічних аналізаторах.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Характеристика: Прозора безбарвна </w:t>
            </w:r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рідина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Фасування: 50мл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lang w:eastAsia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6.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55866   Підрахунок клітин крові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контрольний матеріал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Матеріал контролю гематологічний атестований багато параметричний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Para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12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Extend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: 1 x 2.5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мл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(1 Норма)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Призначення :Для оцінки точності та достовірності результатів, отриманих на гематологічних аналізаторах.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Об’єм фасування, мл-2,5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  <w:r w:rsidRPr="004875BE"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  <w:t>Кількість атестованих показників -12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val="en-US"/>
              </w:rPr>
              <w:t>7</w:t>
            </w:r>
            <w:r w:rsidRPr="004875B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58236    Буферний розчин для промивання IVD 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 xml:space="preserve"> ), автоматичні/ напівавтоматичні системи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Промиваючий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розчин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Призначення: Для приготування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промиючого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 розчину.</w:t>
            </w:r>
          </w:p>
          <w:p w:rsidR="00CE0927" w:rsidRPr="004875BE" w:rsidRDefault="00CE0927" w:rsidP="008653BD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Загальний об’єм реагенту: 1 л.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Склад реагенту: </w:t>
            </w:r>
            <w:r w:rsidRPr="004875BE">
              <w:rPr>
                <w:rFonts w:ascii="Times New Roman" w:hAnsi="Times New Roman"/>
                <w:color w:val="000000" w:themeColor="text1"/>
              </w:rPr>
              <w:t>10% водний розчин Тритона</w:t>
            </w:r>
            <w:r w:rsidRPr="004875BE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48365</w:t>
            </w:r>
            <w:r w:rsidRPr="004875BE">
              <w:rPr>
                <w:rFonts w:cs="Times New Roman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   </w:t>
            </w:r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Вірус гепатиту C, загальні антитіла IVD (діагностика </w:t>
            </w:r>
            <w:proofErr w:type="spellStart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in</w:t>
            </w:r>
            <w:proofErr w:type="spellEnd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 </w:t>
            </w:r>
            <w:proofErr w:type="spellStart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vitro</w:t>
            </w:r>
            <w:proofErr w:type="spellEnd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), набір, </w:t>
            </w:r>
            <w:proofErr w:type="spellStart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>імуноферментний</w:t>
            </w:r>
            <w:proofErr w:type="spellEnd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3F7FA"/>
                <w:lang w:val="uk-UA"/>
              </w:rPr>
              <w:t xml:space="preserve"> аналіз (ІФА)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 для виявлення сумарних антитіл до вірусу гепатиту C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Набір для якісного виявлення сумарних антитіл до вірусу гепатиту С (ВГС) у сироватці чи плазмі крові людини методом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гепатиту С та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Процедура аналізу розрахована як для ручної постановки з автоматичними піпетками та стандартним обладнанням, так і для автоматичного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48319</w:t>
            </w:r>
            <w:r w:rsidRPr="004875BE">
              <w:rPr>
                <w:rFonts w:cs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   </w:t>
            </w:r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Вірус гепатиту B, поверхневий антиген IVD (діагностика </w:t>
            </w:r>
            <w:proofErr w:type="spellStart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in</w:t>
            </w:r>
            <w:proofErr w:type="spellEnd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vitro</w:t>
            </w:r>
            <w:proofErr w:type="spellEnd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), набір, </w:t>
            </w:r>
            <w:proofErr w:type="spellStart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імуноферментний</w:t>
            </w:r>
            <w:proofErr w:type="spellEnd"/>
            <w:r w:rsidRPr="004875BE">
              <w:rPr>
                <w:rStyle w:val="ng-binding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аналіз (ІФА)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Набір для виявлення поверхневого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антигена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вірусу гепатиту В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Набір для якісного виявлення поверхневого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антигена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вірусу гепатиту B (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HBsAg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) у сироватці чи плазмі крові людини методом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гепатиту В та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Процедура аналізу розрахована для ручної постановки з автоматичними піпетками так і для автоматичного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48281 Вірус гепатиту A, імуноглобулін M (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IgM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), антитіла IVD 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), набір,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імуноферментний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 (ІФА)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 xml:space="preserve">Набір </w:t>
            </w:r>
            <w:r w:rsidRPr="004875BE">
              <w:rPr>
                <w:rFonts w:ascii="Times New Roman" w:hAnsi="Times New Roman"/>
                <w:color w:val="000000" w:themeColor="text1"/>
                <w:lang w:eastAsia="uk-UA"/>
              </w:rPr>
              <w:t>для якісного виявлення антитіл до вірусу гепатиту A</w:t>
            </w:r>
          </w:p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Набір для якісного виявлення антитіл класу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IgM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до вірусу гепатиту A у сироватці чи плазмі крові людини методом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аналізу (ІФА) з метою діагностики гепатиту А та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скринінгу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донорської крові. Процедура аналізу розрахована для ручної постановки з автоматичними </w:t>
            </w: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 xml:space="preserve">піпетками так і для автоматичного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51021    Бактерія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Гелікобактер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пілорі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, загальні антитіла IVD 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), набір,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>імуноферментний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ru-RU"/>
              </w:rPr>
              <w:t xml:space="preserve"> аналіз (ІФА)</w:t>
            </w:r>
            <w:r w:rsidRPr="004875BE">
              <w:rPr>
                <w:rFonts w:ascii="Times New Roman" w:hAnsi="Times New Roman"/>
                <w:i/>
                <w:iCs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ІФА-набір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для якісного виявлення сумарних антитіл до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Helicobacter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pylori</w:t>
            </w:r>
            <w:proofErr w:type="spellEnd"/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CE0927" w:rsidRPr="004875BE" w:rsidRDefault="00CE0927" w:rsidP="00CE0927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/>
              </w:rPr>
            </w:pPr>
            <w:r w:rsidRPr="005E5A66">
              <w:rPr>
                <w:kern w:val="2"/>
                <w:sz w:val="24"/>
                <w:lang w:val="uk-UA"/>
              </w:rPr>
              <w:t xml:space="preserve">Набір призначений для якісного виявлення сумарних антитіл (класів </w:t>
            </w:r>
            <w:proofErr w:type="spellStart"/>
            <w:r w:rsidRPr="00CE0927">
              <w:rPr>
                <w:kern w:val="2"/>
                <w:sz w:val="24"/>
              </w:rPr>
              <w:t>IgG</w:t>
            </w:r>
            <w:proofErr w:type="spellEnd"/>
            <w:r w:rsidRPr="005E5A66">
              <w:rPr>
                <w:kern w:val="2"/>
                <w:sz w:val="24"/>
                <w:lang w:val="uk-UA"/>
              </w:rPr>
              <w:t xml:space="preserve">, </w:t>
            </w:r>
            <w:proofErr w:type="spellStart"/>
            <w:r w:rsidRPr="00CE0927">
              <w:rPr>
                <w:kern w:val="2"/>
                <w:sz w:val="24"/>
              </w:rPr>
              <w:t>IgA</w:t>
            </w:r>
            <w:proofErr w:type="spellEnd"/>
            <w:r w:rsidRPr="005E5A66">
              <w:rPr>
                <w:kern w:val="2"/>
                <w:sz w:val="24"/>
                <w:lang w:val="uk-UA"/>
              </w:rPr>
              <w:t xml:space="preserve"> та </w:t>
            </w:r>
            <w:proofErr w:type="spellStart"/>
            <w:r w:rsidRPr="00CE0927">
              <w:rPr>
                <w:kern w:val="2"/>
                <w:sz w:val="24"/>
              </w:rPr>
              <w:t>IgM</w:t>
            </w:r>
            <w:proofErr w:type="spellEnd"/>
            <w:r w:rsidRPr="005E5A66">
              <w:rPr>
                <w:kern w:val="2"/>
                <w:sz w:val="24"/>
                <w:lang w:val="uk-UA"/>
              </w:rPr>
              <w:t xml:space="preserve">) до </w:t>
            </w:r>
            <w:proofErr w:type="spellStart"/>
            <w:r w:rsidRPr="00CE0927">
              <w:rPr>
                <w:i/>
                <w:iCs/>
                <w:kern w:val="2"/>
                <w:sz w:val="24"/>
              </w:rPr>
              <w:t>Helicobacter</w:t>
            </w:r>
            <w:proofErr w:type="spellEnd"/>
            <w:r w:rsidRPr="005E5A66">
              <w:rPr>
                <w:i/>
                <w:iCs/>
                <w:kern w:val="2"/>
                <w:sz w:val="24"/>
                <w:lang w:val="uk-UA"/>
              </w:rPr>
              <w:t xml:space="preserve"> </w:t>
            </w:r>
            <w:proofErr w:type="spellStart"/>
            <w:r w:rsidRPr="00CE0927">
              <w:rPr>
                <w:i/>
                <w:iCs/>
                <w:kern w:val="2"/>
                <w:sz w:val="24"/>
              </w:rPr>
              <w:t>pylori</w:t>
            </w:r>
            <w:proofErr w:type="spellEnd"/>
            <w:r w:rsidRPr="005E5A66">
              <w:rPr>
                <w:i/>
                <w:iCs/>
                <w:kern w:val="2"/>
                <w:sz w:val="24"/>
                <w:lang w:val="uk-UA"/>
              </w:rPr>
              <w:t xml:space="preserve"> </w:t>
            </w:r>
            <w:r w:rsidRPr="005E5A66">
              <w:rPr>
                <w:kern w:val="2"/>
                <w:sz w:val="24"/>
                <w:lang w:val="uk-UA"/>
              </w:rPr>
              <w:t>у сироватці чи плазмі крові людини</w:t>
            </w:r>
            <w:r w:rsidRPr="00CE0927">
              <w:rPr>
                <w:color w:val="000000" w:themeColor="text1"/>
                <w:kern w:val="2"/>
                <w:sz w:val="24"/>
                <w:lang w:val="uk-UA"/>
              </w:rPr>
              <w:br/>
            </w:r>
            <w:r w:rsidRPr="005E5A66">
              <w:rPr>
                <w:kern w:val="2"/>
                <w:sz w:val="24"/>
                <w:lang w:val="uk-UA"/>
              </w:rPr>
              <w:t xml:space="preserve">методом імуноферментного аналізу (ІФА) з метою діагностики хелікобактеріозу. </w:t>
            </w:r>
            <w:r w:rsidRPr="00CE0927">
              <w:rPr>
                <w:color w:val="000000" w:themeColor="text1"/>
                <w:kern w:val="2"/>
                <w:sz w:val="24"/>
                <w:lang w:val="uk-UA"/>
              </w:rPr>
              <w:t>Процедура аналізу розрахована</w:t>
            </w:r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для ручної постановки з автоматичними піпетками так і для автоматичного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i/>
                <w:color w:val="000000" w:themeColor="text1"/>
              </w:rPr>
              <w:t>12</w:t>
            </w:r>
            <w:r w:rsidRPr="004875B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pStyle w:val="LO-normal"/>
              <w:jc w:val="center"/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51798  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Treponema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pallidum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, загальні антитіла IVD (діагностика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in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vitro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), набір,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імуноферментний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 (ІФА))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ІФА набір (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Аnti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Tr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val="en-US"/>
              </w:rPr>
              <w:t>e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ponema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pallidum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</w:tcPr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Набір для якісного виявлення сумарних антитіл до Т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reponema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pallidum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у сироватці чи плазмі крові людини методом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аналізу (ІФА) з метою діагностики </w:t>
            </w:r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c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ифілісу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та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скринінгу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донорської крові. Процедура аналізу розрахована для ручної постановки з автоматичними піпетками так і для автоматичного </w:t>
            </w:r>
            <w:proofErr w:type="spellStart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>імуноферментного</w:t>
            </w:r>
            <w:proofErr w:type="spellEnd"/>
            <w:r w:rsidRPr="004875BE">
              <w:rPr>
                <w:rFonts w:cs="Times New Roman"/>
                <w:color w:val="000000" w:themeColor="text1"/>
                <w:sz w:val="22"/>
                <w:szCs w:val="22"/>
                <w:lang w:val="uk-UA"/>
              </w:rPr>
              <w:t xml:space="preserve"> аналізатора «відкритого» типу.</w:t>
            </w: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55983 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Протромбінови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й час (ПЧ)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Набір призначений для роботи на всіх типах напівавтоматичних і автоматичних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коагулометрів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та ручних методів дослідження для визначення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протромбінового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часу. 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Реагент готовий до застосування і не потребує розведення.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Фасування: </w:t>
            </w:r>
            <w:r w:rsidRPr="004875BE">
              <w:rPr>
                <w:rFonts w:ascii="Times New Roman" w:hAnsi="Times New Roman"/>
                <w:color w:val="000000" w:themeColor="text1"/>
                <w:lang w:val="en-US"/>
              </w:rPr>
              <w:t>R</w:t>
            </w:r>
            <w:r w:rsidRPr="004875BE">
              <w:rPr>
                <w:rFonts w:ascii="Times New Roman" w:hAnsi="Times New Roman"/>
                <w:color w:val="000000" w:themeColor="text1"/>
              </w:rPr>
              <w:t>1 10</w:t>
            </w:r>
            <w:r w:rsidRPr="004875BE">
              <w:rPr>
                <w:rFonts w:ascii="Times New Roman" w:hAnsi="Times New Roman"/>
                <w:color w:val="000000" w:themeColor="text1"/>
                <w:lang w:val="en-US"/>
              </w:rPr>
              <w:t>x</w:t>
            </w:r>
            <w:r w:rsidRPr="004875BE">
              <w:rPr>
                <w:rFonts w:ascii="Times New Roman" w:hAnsi="Times New Roman"/>
                <w:color w:val="000000" w:themeColor="text1"/>
              </w:rPr>
              <w:t>5мл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14.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55997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Фібриноген (чинник I)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Фібріноген</w:t>
            </w:r>
            <w:proofErr w:type="spellEnd"/>
          </w:p>
        </w:tc>
        <w:tc>
          <w:tcPr>
            <w:tcW w:w="70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Набір призначений для роботи на всіх типах напівавтоматичних і автоматичних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коагулометрів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>. Для кількісного визначення фібриногену. Реагенти готові до застосування.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Фасування: R1 5фл х 5мл;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R2 3фл х 30мл.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15.</w:t>
            </w:r>
          </w:p>
        </w:tc>
        <w:tc>
          <w:tcPr>
            <w:tcW w:w="1701" w:type="dxa"/>
            <w:hideMark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55987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Тромбіновий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час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Тромбіновий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hideMark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Набір призначений для роботи на всіх типах напівавтоматичних і автоматичних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коагулометрів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та ручних методів дослідження для визначення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тромбінового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часу. Реагент готовий до застосування і не потребує розведення.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Фасування: R1 10фл х 5мл.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16.</w:t>
            </w:r>
          </w:p>
        </w:tc>
        <w:tc>
          <w:tcPr>
            <w:tcW w:w="1701" w:type="dxa"/>
            <w:hideMark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55981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3F7FA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Активований частковий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lastRenderedPageBreak/>
              <w:t>тромбопластиновий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час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), набір, аналіз утворення згустку</w:t>
            </w:r>
          </w:p>
        </w:tc>
        <w:tc>
          <w:tcPr>
            <w:tcW w:w="141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 xml:space="preserve">Активований частковий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тромбопласт</w:t>
            </w: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иновий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</w:t>
            </w:r>
          </w:p>
        </w:tc>
        <w:tc>
          <w:tcPr>
            <w:tcW w:w="70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набір</w:t>
            </w:r>
          </w:p>
        </w:tc>
        <w:tc>
          <w:tcPr>
            <w:tcW w:w="4253" w:type="dxa"/>
            <w:hideMark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Набір призначений для роботи на всіх типах напівавтоматичних і автоматичних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коагулометрів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та ручних </w:t>
            </w: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 xml:space="preserve">методів дослідження для визначення активованого часткового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тромбопластинового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часу. Реагенти готові до застосування.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Фасування: R1 5фл х 5мл;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R2 5фл х 5мл.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17.</w:t>
            </w:r>
          </w:p>
        </w:tc>
        <w:tc>
          <w:tcPr>
            <w:tcW w:w="1701" w:type="dxa"/>
            <w:hideMark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55985  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 (ПЧ)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), </w:t>
            </w:r>
            <w:r w:rsidRPr="004875BE">
              <w:rPr>
                <w:rFonts w:ascii="Times New Roman" w:hAnsi="Times New Roman"/>
                <w:color w:val="000000" w:themeColor="text1"/>
              </w:rPr>
              <w:t>ІVD, контрольний матеріал</w:t>
            </w:r>
          </w:p>
        </w:tc>
        <w:tc>
          <w:tcPr>
            <w:tcW w:w="141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Нормальна контрольна плазма (NCP)</w:t>
            </w:r>
          </w:p>
        </w:tc>
        <w:tc>
          <w:tcPr>
            <w:tcW w:w="70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  <w:hideMark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>Призначено у якості матеріалу для проведення контролю якості в тестах системи гемостазу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>Фасування: 1мл/</w:t>
            </w:r>
            <w:proofErr w:type="spellStart"/>
            <w:r w:rsidRPr="004875BE">
              <w:rPr>
                <w:rFonts w:ascii="Times New Roman" w:hAnsi="Times New Roman"/>
                <w:bCs/>
                <w:color w:val="000000" w:themeColor="text1"/>
              </w:rPr>
              <w:t>фл</w:t>
            </w:r>
            <w:proofErr w:type="spellEnd"/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 сухого порошку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18.</w:t>
            </w:r>
          </w:p>
        </w:tc>
        <w:tc>
          <w:tcPr>
            <w:tcW w:w="1701" w:type="dxa"/>
            <w:hideMark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55985  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Протромбіновий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час (ПЧ)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3F7FA"/>
              </w:rPr>
              <w:t xml:space="preserve">), </w:t>
            </w:r>
            <w:r w:rsidRPr="004875BE">
              <w:rPr>
                <w:rFonts w:ascii="Times New Roman" w:hAnsi="Times New Roman"/>
                <w:color w:val="000000" w:themeColor="text1"/>
              </w:rPr>
              <w:t>ІVD, контрольний матеріал</w:t>
            </w:r>
          </w:p>
        </w:tc>
        <w:tc>
          <w:tcPr>
            <w:tcW w:w="141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Патологічна контрольна плазма (ANCP)</w:t>
            </w:r>
          </w:p>
        </w:tc>
        <w:tc>
          <w:tcPr>
            <w:tcW w:w="708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  <w:hideMark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>Призначено у якості матеріалу для проведення контролю якості в тестах системи гемостазу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>Фасування: 1мл/</w:t>
            </w:r>
            <w:proofErr w:type="spellStart"/>
            <w:r w:rsidRPr="004875BE">
              <w:rPr>
                <w:rFonts w:ascii="Times New Roman" w:hAnsi="Times New Roman"/>
                <w:bCs/>
                <w:color w:val="000000" w:themeColor="text1"/>
              </w:rPr>
              <w:t>фл</w:t>
            </w:r>
            <w:proofErr w:type="spellEnd"/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 сухого порошку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hideMark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19.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63377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Універсальний промивний розчин 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>Призначення: для процедур промивки та очищення гідравлічної системи автоматичних аналізаторів.</w:t>
            </w:r>
          </w:p>
          <w:p w:rsidR="00CE0927" w:rsidRPr="004875BE" w:rsidRDefault="00CE0927" w:rsidP="008653BD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Фасування: 30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>мл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 у флаконі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12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20.</w:t>
            </w:r>
          </w:p>
        </w:tc>
        <w:tc>
          <w:tcPr>
            <w:tcW w:w="1701" w:type="dxa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63377</w:t>
            </w:r>
            <w:r w:rsidRPr="004875B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   </w:t>
            </w:r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Засіб для очищення приладу/ аналізатора IVD (діагностика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in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vitro</w:t>
            </w:r>
            <w:proofErr w:type="spellEnd"/>
            <w:r w:rsidRPr="004875BE">
              <w:rPr>
                <w:rStyle w:val="ng-binding"/>
                <w:rFonts w:ascii="Times New Roman" w:hAnsi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Спеціальний очисний розчин </w:t>
            </w:r>
          </w:p>
        </w:tc>
        <w:tc>
          <w:tcPr>
            <w:tcW w:w="708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</w:p>
        </w:tc>
        <w:tc>
          <w:tcPr>
            <w:tcW w:w="4253" w:type="dxa"/>
          </w:tcPr>
          <w:p w:rsidR="00CE0927" w:rsidRPr="004875BE" w:rsidRDefault="00CE0927" w:rsidP="008653BD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Призначення: для процедур промивки та очищення гідравлічної системи автоматичних аналізаторів -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>коагулометрів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, біохімічних аналізаторів та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>інш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>. від залишків біологічної проби.</w:t>
            </w:r>
          </w:p>
          <w:p w:rsidR="00CE0927" w:rsidRPr="004875BE" w:rsidRDefault="00CE0927" w:rsidP="008653BD">
            <w:pPr>
              <w:widowControl w:val="0"/>
              <w:autoSpaceDE w:val="0"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Фасування: 100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>мл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 у флаконі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6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1701" w:type="dxa"/>
            <w:shd w:val="clear" w:color="auto" w:fill="FFFFFF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DFEFD"/>
              </w:rPr>
              <w:t xml:space="preserve">54664    Загальний простатичний специфічний антиген (ПСА) IVD </w:t>
            </w:r>
            <w:r w:rsidRPr="004875BE">
              <w:rPr>
                <w:rFonts w:ascii="Times New Roman" w:hAnsi="Times New Roman"/>
                <w:color w:val="000000" w:themeColor="text1"/>
              </w:rPr>
              <w:t xml:space="preserve">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>)</w:t>
            </w:r>
            <w:r w:rsidRPr="004875BE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DFEFD"/>
              </w:rPr>
              <w:t xml:space="preserve">, набір,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DFEFD"/>
              </w:rPr>
              <w:t>імуноферментний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  <w:bdr w:val="none" w:sz="0" w:space="0" w:color="auto" w:frame="1"/>
                <w:shd w:val="clear" w:color="auto" w:fill="FDFEFD"/>
              </w:rPr>
              <w:t xml:space="preserve"> аналіз (ІФА</w:t>
            </w:r>
          </w:p>
        </w:tc>
        <w:tc>
          <w:tcPr>
            <w:tcW w:w="1418" w:type="dxa"/>
            <w:shd w:val="clear" w:color="auto" w:fill="FFFFFF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4875BE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 визначення загального простатичного специфічного антигену в сироватці (плазмі) крові</w:t>
            </w:r>
          </w:p>
        </w:tc>
        <w:tc>
          <w:tcPr>
            <w:tcW w:w="708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  <w:lang w:eastAsia="ar-SA"/>
              </w:rPr>
              <w:t xml:space="preserve">Призначення:  </w:t>
            </w:r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4875BE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 визначення загального простатичного специфічного антигену в сироватці (плазмі) крові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Принцип аналізу –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Метод ІФА аналізу - кількісний.</w:t>
            </w:r>
          </w:p>
          <w:p w:rsidR="00CE0927" w:rsidRPr="004875BE" w:rsidRDefault="00CE0927" w:rsidP="008653BD">
            <w:pPr>
              <w:ind w:left="-375" w:firstLine="375"/>
              <w:jc w:val="both"/>
              <w:rPr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Формат планшета: 96-лунковий</w:t>
            </w:r>
          </w:p>
        </w:tc>
        <w:tc>
          <w:tcPr>
            <w:tcW w:w="1134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22.</w:t>
            </w:r>
          </w:p>
        </w:tc>
        <w:tc>
          <w:tcPr>
            <w:tcW w:w="1701" w:type="dxa"/>
            <w:shd w:val="clear" w:color="auto" w:fill="FFFFFF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54668 — Вільний (незв'язаний) </w:t>
            </w: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 xml:space="preserve">простатичний специфічний антиген (ПСА) IVD 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), набір,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 (ІФА)</w:t>
            </w:r>
          </w:p>
        </w:tc>
        <w:tc>
          <w:tcPr>
            <w:tcW w:w="1418" w:type="dxa"/>
            <w:shd w:val="clear" w:color="auto" w:fill="FFFFFF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Набір для </w:t>
            </w:r>
            <w:proofErr w:type="spellStart"/>
            <w:r w:rsidRPr="004875BE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4875BE">
              <w:rPr>
                <w:rFonts w:ascii="Times New Roman" w:hAnsi="Times New Roman"/>
                <w:bCs/>
                <w:color w:val="000000" w:themeColor="text1"/>
              </w:rPr>
              <w:lastRenderedPageBreak/>
              <w:t>визначення вільного  простатичного специфічного антигену в сироватці (плазмі) кров</w:t>
            </w:r>
          </w:p>
        </w:tc>
        <w:tc>
          <w:tcPr>
            <w:tcW w:w="708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Призначення: </w:t>
            </w:r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Набір для </w:t>
            </w:r>
            <w:proofErr w:type="spellStart"/>
            <w:r w:rsidRPr="004875BE">
              <w:rPr>
                <w:rFonts w:ascii="Times New Roman" w:hAnsi="Times New Roman"/>
                <w:bCs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bCs/>
                <w:color w:val="000000" w:themeColor="text1"/>
              </w:rPr>
              <w:t xml:space="preserve"> визначення вільного  простатичного специфічного </w:t>
            </w:r>
            <w:r w:rsidRPr="004875BE">
              <w:rPr>
                <w:rFonts w:ascii="Times New Roman" w:hAnsi="Times New Roman"/>
                <w:bCs/>
                <w:color w:val="000000" w:themeColor="text1"/>
              </w:rPr>
              <w:lastRenderedPageBreak/>
              <w:t>антигену в сироватці (плазмі) крові</w:t>
            </w:r>
            <w:r w:rsidRPr="004875BE">
              <w:rPr>
                <w:rFonts w:ascii="Times New Roman" w:hAnsi="Times New Roman"/>
                <w:color w:val="000000" w:themeColor="text1"/>
              </w:rPr>
              <w:t xml:space="preserve"> Принцип аналізу –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Метод ІФА аналізу - кількісний.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Формат планшета: 96-лунковий,</w:t>
            </w:r>
          </w:p>
        </w:tc>
        <w:tc>
          <w:tcPr>
            <w:tcW w:w="1134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20</w:t>
            </w:r>
          </w:p>
        </w:tc>
      </w:tr>
      <w:tr w:rsidR="00CE0927" w:rsidRPr="004875BE" w:rsidTr="00CE0927">
        <w:trPr>
          <w:trHeight w:val="21"/>
        </w:trPr>
        <w:tc>
          <w:tcPr>
            <w:tcW w:w="425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lastRenderedPageBreak/>
              <w:t>23.</w:t>
            </w:r>
          </w:p>
        </w:tc>
        <w:tc>
          <w:tcPr>
            <w:tcW w:w="1701" w:type="dxa"/>
            <w:shd w:val="clear" w:color="auto" w:fill="FFFFFF"/>
          </w:tcPr>
          <w:p w:rsidR="00CE0927" w:rsidRPr="004875BE" w:rsidRDefault="00CE0927" w:rsidP="008653BD">
            <w:pPr>
              <w:tabs>
                <w:tab w:val="left" w:pos="567"/>
              </w:tabs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48445  ВІЛ1/ВІЛ2 антигени/антитіла IVD(діагностика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in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vitro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), набір,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 (ІФА))</w:t>
            </w:r>
          </w:p>
        </w:tc>
        <w:tc>
          <w:tcPr>
            <w:tcW w:w="1418" w:type="dxa"/>
            <w:shd w:val="clear" w:color="auto" w:fill="FFFFFF"/>
          </w:tcPr>
          <w:p w:rsidR="00CE0927" w:rsidRPr="004875BE" w:rsidRDefault="00CE0927" w:rsidP="008653BD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4875BE">
              <w:rPr>
                <w:rFonts w:ascii="Times New Roman" w:hAnsi="Times New Roman"/>
                <w:bCs/>
                <w:color w:val="000000" w:themeColor="text1"/>
              </w:rPr>
              <w:t>Набір реагентів для одночасного виявлення антитіл до ВІЛ 1/2 та антигену ВІЛ1</w:t>
            </w:r>
          </w:p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  <w:lang w:eastAsia="uk-UA"/>
              </w:rPr>
            </w:pPr>
          </w:p>
        </w:tc>
        <w:tc>
          <w:tcPr>
            <w:tcW w:w="708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набір</w:t>
            </w:r>
          </w:p>
        </w:tc>
        <w:tc>
          <w:tcPr>
            <w:tcW w:w="4253" w:type="dxa"/>
            <w:shd w:val="clear" w:color="auto" w:fill="FFFFFF"/>
          </w:tcPr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 Призначення: Набір реагентів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виявлення антитіл до вірусів імунодефіциту людини 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та антигену ВІЛ 1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 xml:space="preserve">Принцип аналізу –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двухсайтовий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«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сендвіч»-варіант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твердофазного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4875BE">
              <w:rPr>
                <w:rFonts w:ascii="Times New Roman" w:hAnsi="Times New Roman"/>
                <w:color w:val="000000" w:themeColor="text1"/>
              </w:rPr>
              <w:t>імуноферментного</w:t>
            </w:r>
            <w:proofErr w:type="spellEnd"/>
            <w:r w:rsidRPr="004875BE">
              <w:rPr>
                <w:rFonts w:ascii="Times New Roman" w:hAnsi="Times New Roman"/>
                <w:color w:val="000000" w:themeColor="text1"/>
              </w:rPr>
              <w:t xml:space="preserve"> аналізу.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Метод ІФА аналізу - якісний.</w:t>
            </w:r>
          </w:p>
          <w:p w:rsidR="00CE0927" w:rsidRPr="004875BE" w:rsidRDefault="00CE0927" w:rsidP="008653BD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Формат планшета: 96-лунковий.</w:t>
            </w:r>
          </w:p>
          <w:p w:rsidR="00CE0927" w:rsidRPr="004875BE" w:rsidRDefault="00CE0927" w:rsidP="008653BD">
            <w:pPr>
              <w:pStyle w:val="LO-normal"/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  <w:lang w:val="uk-UA" w:eastAsia="uk-UA"/>
              </w:rPr>
            </w:pPr>
          </w:p>
        </w:tc>
        <w:tc>
          <w:tcPr>
            <w:tcW w:w="1134" w:type="dxa"/>
            <w:shd w:val="clear" w:color="auto" w:fill="FFFFFF"/>
          </w:tcPr>
          <w:p w:rsidR="00CE0927" w:rsidRPr="004875BE" w:rsidRDefault="00CE0927" w:rsidP="008653BD">
            <w:pPr>
              <w:ind w:left="-90" w:right="-9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875BE">
              <w:rPr>
                <w:rFonts w:ascii="Times New Roman" w:hAnsi="Times New Roman"/>
                <w:color w:val="000000" w:themeColor="text1"/>
              </w:rPr>
              <w:t>15</w:t>
            </w:r>
          </w:p>
        </w:tc>
      </w:tr>
    </w:tbl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  <w:lang w:val="en-US"/>
        </w:rPr>
      </w:pPr>
    </w:p>
    <w:p w:rsidR="00CE0927" w:rsidRPr="004875BE" w:rsidRDefault="00CE0927" w:rsidP="00CE0927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 w:rsidRPr="004875BE">
        <w:rPr>
          <w:rFonts w:ascii="Times New Roman" w:hAnsi="Times New Roman"/>
          <w:i/>
          <w:color w:val="000000" w:themeColor="text1"/>
        </w:rPr>
        <w:t xml:space="preserve">У разі, якщо у даних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медико-технічних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вимогах йде посилання на конкретну марку чи фірму, патент, конструкцію або тип товару, то вважається, що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медико-технічні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вимоги містять вираз (або еквівалент). При цьому, запропонований учасником еквівалент товару за своїми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медико-технічними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характеристиками повинен бути не гіршим ніж встановлено згідно з умовами цієї тендерної документації. Тендерна пропозиція, що не відповідає </w:t>
      </w:r>
      <w:proofErr w:type="spellStart"/>
      <w:r w:rsidRPr="004875BE">
        <w:rPr>
          <w:rFonts w:ascii="Times New Roman" w:hAnsi="Times New Roman"/>
          <w:i/>
          <w:color w:val="000000" w:themeColor="text1"/>
        </w:rPr>
        <w:t>медико</w:t>
      </w:r>
      <w:proofErr w:type="spellEnd"/>
      <w:r w:rsidRPr="004875BE">
        <w:rPr>
          <w:rFonts w:ascii="Times New Roman" w:hAnsi="Times New Roman"/>
          <w:i/>
          <w:color w:val="000000" w:themeColor="text1"/>
        </w:rPr>
        <w:t xml:space="preserve"> - технічним вимогам, буде відхилена як невідповідна вимогам Тендерної документації.</w:t>
      </w:r>
    </w:p>
    <w:p w:rsidR="00CE0927" w:rsidRPr="004875BE" w:rsidRDefault="00CE0927" w:rsidP="00CE0927">
      <w:pPr>
        <w:ind w:left="142"/>
        <w:jc w:val="both"/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875BE">
        <w:rPr>
          <w:rFonts w:ascii="Times New Roman" w:hAnsi="Times New Roman"/>
          <w:b/>
          <w:bCs/>
          <w:color w:val="000000" w:themeColor="text1"/>
          <w:lang w:eastAsia="ru-RU"/>
        </w:rPr>
        <w:t>2. Умови поставки:</w:t>
      </w:r>
    </w:p>
    <w:p w:rsidR="00CE0927" w:rsidRPr="004875BE" w:rsidRDefault="00CE0927" w:rsidP="00CE0927">
      <w:pPr>
        <w:pStyle w:val="LO-normal"/>
        <w:ind w:left="142"/>
        <w:jc w:val="both"/>
        <w:rPr>
          <w:rFonts w:cs="Times New Roman"/>
          <w:b/>
          <w:bCs/>
          <w:color w:val="000000" w:themeColor="text1"/>
          <w:sz w:val="24"/>
          <w:lang w:val="uk-UA"/>
        </w:rPr>
      </w:pPr>
      <w:r w:rsidRPr="004875BE">
        <w:rPr>
          <w:rFonts w:eastAsia="Times New Roman" w:cs="Times New Roman"/>
          <w:color w:val="000000" w:themeColor="text1"/>
          <w:sz w:val="22"/>
          <w:szCs w:val="22"/>
          <w:lang w:val="uk-UA" w:eastAsia="ru-RU"/>
        </w:rPr>
        <w:t xml:space="preserve">2.1. Поставка товару: </w:t>
      </w:r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61172,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Україна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Харківська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обл.,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Харків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, ВУЛИЦЯ РОГАНСЬКА, </w:t>
      </w:r>
      <w:proofErr w:type="spellStart"/>
      <w:r w:rsidRPr="004875BE">
        <w:rPr>
          <w:b/>
          <w:bCs/>
          <w:i/>
          <w:iCs/>
          <w:color w:val="000000" w:themeColor="text1"/>
          <w:sz w:val="22"/>
          <w:szCs w:val="28"/>
        </w:rPr>
        <w:t>будинок</w:t>
      </w:r>
      <w:proofErr w:type="spellEnd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130</w:t>
      </w:r>
      <w:proofErr w:type="gramStart"/>
      <w:r w:rsidRPr="004875BE">
        <w:rPr>
          <w:b/>
          <w:bCs/>
          <w:i/>
          <w:iCs/>
          <w:color w:val="000000" w:themeColor="text1"/>
          <w:sz w:val="22"/>
          <w:szCs w:val="28"/>
        </w:rPr>
        <w:t xml:space="preserve"> А</w:t>
      </w:r>
      <w:proofErr w:type="gramEnd"/>
    </w:p>
    <w:p w:rsidR="00CE0927" w:rsidRPr="004875BE" w:rsidRDefault="00CE0927" w:rsidP="00CE0927">
      <w:pPr>
        <w:pStyle w:val="LO-normal"/>
        <w:ind w:left="142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4875BE">
        <w:rPr>
          <w:rFonts w:cs="Times New Roman"/>
          <w:color w:val="000000" w:themeColor="text1"/>
          <w:sz w:val="22"/>
          <w:szCs w:val="22"/>
          <w:lang w:val="uk-UA"/>
        </w:rPr>
        <w:t xml:space="preserve">2.2. Товар повинен постачатися Замовнику в упаковці, яка забезпечує зберігання при транспортуванні та відповідає установленим стандартам. </w:t>
      </w:r>
    </w:p>
    <w:p w:rsidR="00CE0927" w:rsidRPr="004875BE" w:rsidRDefault="00CE0927" w:rsidP="00CE0927">
      <w:pPr>
        <w:shd w:val="clear" w:color="auto" w:fill="FFFFFF"/>
        <w:ind w:left="142" w:right="19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 xml:space="preserve">2.3. Товар повинен передаватися Замовнику в упаковці підприємства виробника, яка не повинна бути деформованою або пошкодженою. </w:t>
      </w: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</w:rPr>
      </w:pP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  <w:lang w:eastAsia="ru-RU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 xml:space="preserve">3. </w:t>
      </w:r>
      <w:r w:rsidRPr="004875BE">
        <w:rPr>
          <w:rFonts w:ascii="Times New Roman" w:hAnsi="Times New Roman"/>
          <w:b/>
          <w:bCs/>
          <w:color w:val="000000" w:themeColor="text1"/>
          <w:lang w:eastAsia="ru-RU"/>
        </w:rPr>
        <w:t xml:space="preserve">Вимоги до якості: </w:t>
      </w:r>
    </w:p>
    <w:p w:rsidR="00CE0927" w:rsidRPr="004875BE" w:rsidRDefault="00CE0927" w:rsidP="00CE0927">
      <w:pPr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Загальні вимоги:</w:t>
      </w:r>
    </w:p>
    <w:p w:rsidR="00CE0927" w:rsidRPr="004875BE" w:rsidRDefault="00CE0927" w:rsidP="00CE0927">
      <w:pPr>
        <w:numPr>
          <w:ilvl w:val="0"/>
          <w:numId w:val="11"/>
        </w:numPr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наявність декларації про відповідність вимогам технічного регламенту щодо медичних виробів (надати копію);</w:t>
      </w:r>
    </w:p>
    <w:p w:rsidR="00CE0927" w:rsidRPr="004875BE" w:rsidRDefault="00CE0927" w:rsidP="00CE0927">
      <w:pPr>
        <w:numPr>
          <w:ilvl w:val="0"/>
          <w:numId w:val="11"/>
        </w:numPr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сертифікат якості надається при поставці (надати гарантійний лист);</w:t>
      </w:r>
    </w:p>
    <w:p w:rsidR="00CE0927" w:rsidRPr="004875BE" w:rsidRDefault="00CE0927" w:rsidP="00CE092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000000" w:themeColor="text1"/>
        </w:rPr>
      </w:pPr>
      <w:r w:rsidRPr="004875BE">
        <w:rPr>
          <w:rFonts w:ascii="Times New Roman" w:hAnsi="Times New Roman"/>
          <w:b/>
          <w:bCs/>
          <w:color w:val="000000" w:themeColor="text1"/>
        </w:rPr>
        <w:t>наявність гарантійного листа від виробника товару (або уповноваженого представника), що підтверджує можливість постачання учасником запропонованого товару в необхідній кількості, якості та в потрібні терміни (вказати ідентифікатор закупівлі та назву замовника тендерної процедури закупівлі).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 xml:space="preserve">доставка за місцем знаходженням Замовника здійснюється транспортом Учасника </w:t>
      </w:r>
      <w:r w:rsidRPr="004875BE">
        <w:rPr>
          <w:rFonts w:ascii="Times New Roman" w:hAnsi="Times New Roman"/>
          <w:b/>
          <w:bCs/>
          <w:color w:val="000000" w:themeColor="text1"/>
        </w:rPr>
        <w:t>(надати гарантійний лист);</w:t>
      </w:r>
      <w:r w:rsidRPr="004875BE">
        <w:rPr>
          <w:rFonts w:ascii="Times New Roman" w:hAnsi="Times New Roman"/>
          <w:color w:val="000000" w:themeColor="text1"/>
        </w:rPr>
        <w:t>.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>поставка товару повинна здійснюватися протягом 5-х робочих днів з моменту отримання заявки та відбуватися виключно на протязі робочого часу установи.</w:t>
      </w:r>
      <w:r w:rsidRPr="004875BE">
        <w:rPr>
          <w:rFonts w:ascii="Times New Roman" w:hAnsi="Times New Roman"/>
          <w:b/>
          <w:bCs/>
          <w:color w:val="000000" w:themeColor="text1"/>
        </w:rPr>
        <w:t xml:space="preserve"> (надати гарантійний лист);</w:t>
      </w:r>
    </w:p>
    <w:p w:rsidR="00CE0927" w:rsidRPr="004875BE" w:rsidRDefault="00CE0927" w:rsidP="00CE0927">
      <w:pPr>
        <w:pStyle w:val="ab"/>
        <w:widowControl w:val="0"/>
        <w:numPr>
          <w:ilvl w:val="0"/>
          <w:numId w:val="11"/>
        </w:numPr>
        <w:tabs>
          <w:tab w:val="left" w:pos="993"/>
        </w:tabs>
        <w:suppressAutoHyphens/>
        <w:autoSpaceDE w:val="0"/>
        <w:spacing w:after="0"/>
        <w:ind w:firstLine="0"/>
        <w:jc w:val="both"/>
        <w:rPr>
          <w:rFonts w:ascii="Times New Roman" w:hAnsi="Times New Roman"/>
          <w:strike/>
          <w:color w:val="000000" w:themeColor="text1"/>
        </w:rPr>
      </w:pPr>
      <w:r w:rsidRPr="004875BE">
        <w:rPr>
          <w:rFonts w:ascii="Times New Roman" w:hAnsi="Times New Roman"/>
          <w:color w:val="000000" w:themeColor="text1"/>
        </w:rPr>
        <w:t>учасник повинен забезпечувати належні умови зберігання та транспортування медичних виробів</w:t>
      </w:r>
      <w:r w:rsidRPr="004875BE">
        <w:rPr>
          <w:rFonts w:ascii="Times New Roman" w:hAnsi="Times New Roman"/>
          <w:b/>
          <w:bCs/>
          <w:color w:val="000000" w:themeColor="text1"/>
        </w:rPr>
        <w:t xml:space="preserve"> (надати гарантійний лист)</w:t>
      </w:r>
    </w:p>
    <w:p w:rsidR="00CE0927" w:rsidRPr="004A2E75" w:rsidRDefault="00CE0927" w:rsidP="00CE0927">
      <w:pPr>
        <w:tabs>
          <w:tab w:val="left" w:pos="1080"/>
        </w:tabs>
        <w:spacing w:line="264" w:lineRule="auto"/>
        <w:jc w:val="center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4875BE">
        <w:rPr>
          <w:rFonts w:ascii="Times New Roman" w:hAnsi="Times New Roman"/>
          <w:color w:val="000000" w:themeColor="text1"/>
        </w:rPr>
        <w:lastRenderedPageBreak/>
        <w:t xml:space="preserve">термін придатності </w:t>
      </w:r>
      <w:r w:rsidRPr="004875BE">
        <w:rPr>
          <w:rFonts w:ascii="Times New Roman" w:hAnsi="Times New Roman"/>
          <w:bCs/>
          <w:color w:val="000000" w:themeColor="text1"/>
        </w:rPr>
        <w:t xml:space="preserve">медичних виробів </w:t>
      </w:r>
      <w:r w:rsidRPr="004875BE">
        <w:rPr>
          <w:rFonts w:ascii="Times New Roman" w:hAnsi="Times New Roman"/>
          <w:color w:val="000000" w:themeColor="text1"/>
        </w:rPr>
        <w:t xml:space="preserve">на момент поставки товару повинен бути не менше 60% від загального строку придатності визначеного виробником. </w:t>
      </w:r>
      <w:r w:rsidRPr="004875BE">
        <w:rPr>
          <w:rFonts w:ascii="Times New Roman" w:hAnsi="Times New Roman"/>
          <w:b/>
          <w:bCs/>
          <w:color w:val="000000" w:themeColor="text1"/>
        </w:rPr>
        <w:t>(надати гарантійний лист)</w:t>
      </w:r>
      <w:r w:rsidRPr="004875BE">
        <w:rPr>
          <w:rFonts w:ascii="Times New Roman" w:hAnsi="Times New Roman"/>
          <w:color w:val="000000" w:themeColor="text1"/>
        </w:rPr>
        <w:t>при формуванні ціни Учасник повинен керуватися вимогами чинного законодавства.</w:t>
      </w:r>
    </w:p>
    <w:p w:rsidR="00CE0927" w:rsidRPr="00C60347" w:rsidRDefault="00CE0927" w:rsidP="00CE0927">
      <w:pPr>
        <w:tabs>
          <w:tab w:val="num" w:pos="720"/>
          <w:tab w:val="left" w:pos="9073"/>
        </w:tabs>
        <w:ind w:left="567" w:right="141"/>
        <w:jc w:val="center"/>
        <w:rPr>
          <w:rFonts w:ascii="Times New Roman" w:hAnsi="Times New Roman"/>
          <w:lang w:eastAsia="uk-UA"/>
        </w:rPr>
      </w:pPr>
    </w:p>
    <w:p w:rsidR="006F06DD" w:rsidRDefault="006F06DD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</w:p>
    <w:p w:rsidR="000F0824" w:rsidRPr="004A2E75" w:rsidRDefault="000F0824" w:rsidP="006F06DD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/>
          <w:kern w:val="0"/>
        </w:rPr>
        <w:t xml:space="preserve">Ідентифікатор закупівлі </w:t>
      </w:r>
      <w:bookmarkStart w:id="1" w:name="_GoBack"/>
      <w:r w:rsidR="005E5A66">
        <w:fldChar w:fldCharType="begin"/>
      </w:r>
      <w:r w:rsidR="005E5A66">
        <w:instrText xml:space="preserve"> HYPERLINK "https://prozorro.gov.ua/uk/tender/UA-2025-01-23-006186-a" \t "_blank" </w:instrText>
      </w:r>
      <w:r w:rsidR="005E5A66">
        <w:fldChar w:fldCharType="separate"/>
      </w:r>
      <w:r w:rsidR="005E5A66">
        <w:rPr>
          <w:rStyle w:val="ac"/>
          <w:rFonts w:ascii="Segoe UI" w:hAnsi="Segoe UI" w:cs="Segoe UI"/>
          <w:color w:val="57A3F3"/>
          <w:sz w:val="21"/>
          <w:szCs w:val="21"/>
          <w:shd w:val="clear" w:color="auto" w:fill="FFFFFF"/>
        </w:rPr>
        <w:t>UA-2025-01-23-006186-a</w:t>
      </w:r>
      <w:r w:rsidR="005E5A66">
        <w:fldChar w:fldCharType="end"/>
      </w:r>
      <w:bookmarkEnd w:id="1"/>
    </w:p>
    <w:sectPr w:rsidR="000F0824" w:rsidRPr="004A2E7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  <w:lang w:eastAsia="uk-UA"/>
      </w:rPr>
    </w:lvl>
  </w:abstractNum>
  <w:abstractNum w:abstractNumId="1">
    <w:nsid w:val="04166FE7"/>
    <w:multiLevelType w:val="multilevel"/>
    <w:tmpl w:val="69045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0CD6D6F"/>
    <w:multiLevelType w:val="hybridMultilevel"/>
    <w:tmpl w:val="BD0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72DFC"/>
    <w:multiLevelType w:val="hybridMultilevel"/>
    <w:tmpl w:val="53CACFE2"/>
    <w:lvl w:ilvl="0" w:tplc="C658C6A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427261E9"/>
    <w:multiLevelType w:val="multilevel"/>
    <w:tmpl w:val="DD48CE36"/>
    <w:styleLink w:val="WWNum19"/>
    <w:lvl w:ilvl="0">
      <w:numFmt w:val="bullet"/>
      <w:lvlText w:val="-"/>
      <w:lvlJc w:val="left"/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43B3609A"/>
    <w:multiLevelType w:val="hybridMultilevel"/>
    <w:tmpl w:val="B29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07142C"/>
    <w:multiLevelType w:val="hybridMultilevel"/>
    <w:tmpl w:val="30CC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15F8"/>
    <w:multiLevelType w:val="hybridMultilevel"/>
    <w:tmpl w:val="66EAA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A334DD9"/>
    <w:multiLevelType w:val="hybridMultilevel"/>
    <w:tmpl w:val="1A00BAF8"/>
    <w:lvl w:ilvl="0" w:tplc="692E6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F664EF"/>
    <w:multiLevelType w:val="multilevel"/>
    <w:tmpl w:val="4E440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6" w:hanging="432"/>
      </w:pPr>
      <w:rPr>
        <w:b w:val="0"/>
        <w:lang w:val="ru-RU"/>
      </w:rPr>
    </w:lvl>
    <w:lvl w:ilvl="2">
      <w:start w:val="1"/>
      <w:numFmt w:val="decimal"/>
      <w:lvlText w:val="%1.%2.%3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F0824"/>
    <w:rsid w:val="00105CA9"/>
    <w:rsid w:val="001151BB"/>
    <w:rsid w:val="00123EE4"/>
    <w:rsid w:val="001B7314"/>
    <w:rsid w:val="002615BB"/>
    <w:rsid w:val="00271BA0"/>
    <w:rsid w:val="003259A9"/>
    <w:rsid w:val="00426D26"/>
    <w:rsid w:val="00447F38"/>
    <w:rsid w:val="00507157"/>
    <w:rsid w:val="005368A4"/>
    <w:rsid w:val="005679CD"/>
    <w:rsid w:val="005E5A66"/>
    <w:rsid w:val="005F1908"/>
    <w:rsid w:val="006F06DD"/>
    <w:rsid w:val="006F7382"/>
    <w:rsid w:val="007B7A9D"/>
    <w:rsid w:val="0080415E"/>
    <w:rsid w:val="008A3BA4"/>
    <w:rsid w:val="008E42A6"/>
    <w:rsid w:val="00923874"/>
    <w:rsid w:val="00A12281"/>
    <w:rsid w:val="00B5179B"/>
    <w:rsid w:val="00BC0FFF"/>
    <w:rsid w:val="00CE0927"/>
    <w:rsid w:val="00D441DB"/>
    <w:rsid w:val="00EB71C8"/>
    <w:rsid w:val="00F30484"/>
    <w:rsid w:val="00F3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1"/>
    <w:uiPriority w:val="99"/>
    <w:qFormat/>
    <w:rsid w:val="00447F38"/>
    <w:pPr>
      <w:keepNext/>
      <w:suppressAutoHyphens/>
      <w:jc w:val="center"/>
      <w:outlineLvl w:val="0"/>
    </w:pPr>
    <w:rPr>
      <w:rFonts w:ascii="Arial" w:eastAsia="Times New Roman" w:hAnsi="Arial" w:cs="Times New Roman"/>
      <w:b/>
      <w:kern w:val="0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6DD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aliases w:val="Список уровня 2,Chapter10,название табл/рис,Details,AC List 01,Bullet Number,Bullet 1,Use Case List Paragraph,lp1,lp11,List Paragraph11,Number Bullets,En tête 1,Mummuga loetelu,Loendi lõik,Report Para,WinDForce-Letter"/>
    <w:basedOn w:val="a"/>
    <w:uiPriority w:val="34"/>
    <w:qFormat/>
    <w:pPr>
      <w:spacing w:after="160"/>
      <w:ind w:left="720"/>
      <w:contextualSpacing/>
    </w:pPr>
  </w:style>
  <w:style w:type="paragraph" w:customStyle="1" w:styleId="10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numbering" w:customStyle="1" w:styleId="WWNum19">
    <w:name w:val="WWNum19"/>
    <w:basedOn w:val="a2"/>
    <w:rsid w:val="008A3BA4"/>
    <w:pPr>
      <w:numPr>
        <w:numId w:val="6"/>
      </w:numPr>
    </w:pPr>
  </w:style>
  <w:style w:type="character" w:customStyle="1" w:styleId="12">
    <w:name w:val="Заголовок 1 Знак"/>
    <w:basedOn w:val="a0"/>
    <w:uiPriority w:val="9"/>
    <w:rsid w:val="00447F38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customStyle="1" w:styleId="11">
    <w:name w:val="Заголовок 1 Знак1"/>
    <w:basedOn w:val="a0"/>
    <w:link w:val="1"/>
    <w:uiPriority w:val="99"/>
    <w:qFormat/>
    <w:locked/>
    <w:rsid w:val="00447F38"/>
    <w:rPr>
      <w:rFonts w:ascii="Arial" w:eastAsia="Times New Roman" w:hAnsi="Arial" w:cs="Times New Roman"/>
      <w:b/>
      <w:kern w:val="0"/>
      <w:sz w:val="24"/>
      <w:lang w:val="en-US" w:eastAsia="en-US" w:bidi="ar-SA"/>
    </w:rPr>
  </w:style>
  <w:style w:type="character" w:customStyle="1" w:styleId="ListParagraph1">
    <w:name w:val="List Paragraph1 Знак"/>
    <w:aliases w:val="Абзац списка Знак,Список уровня 2 Знак,Chapter10 Знак,название табл/рис Знак,Details Знак,AC List 01 Знак,Bullet Number Знак,Bullet 1 Знак,Use Case List Paragraph Знак,lp1 Знак,lp11 Знак,List Paragraph11 Знак,Number Bullets Знак"/>
    <w:link w:val="ListParagraph10"/>
    <w:uiPriority w:val="34"/>
    <w:qFormat/>
    <w:locked/>
    <w:rsid w:val="00447F38"/>
    <w:rPr>
      <w:rFonts w:ascii="Times New Roman" w:hAnsi="Times New Roman" w:cs="Times New Roman"/>
      <w:sz w:val="24"/>
      <w:lang w:val="ru-RU" w:eastAsia="ar-SA"/>
    </w:rPr>
  </w:style>
  <w:style w:type="paragraph" w:customStyle="1" w:styleId="ListParagraph10">
    <w:name w:val="List Paragraph1"/>
    <w:basedOn w:val="a"/>
    <w:link w:val="ListParagraph1"/>
    <w:qFormat/>
    <w:rsid w:val="00447F38"/>
    <w:pPr>
      <w:suppressAutoHyphens/>
      <w:ind w:left="720"/>
    </w:pPr>
    <w:rPr>
      <w:rFonts w:ascii="Times New Roman" w:hAnsi="Times New Roman" w:cs="Times New Roman"/>
      <w:lang w:val="ru-RU" w:eastAsia="ar-SA"/>
    </w:rPr>
  </w:style>
  <w:style w:type="paragraph" w:styleId="ad">
    <w:name w:val="Normal (Web)"/>
    <w:basedOn w:val="a"/>
    <w:qFormat/>
    <w:rsid w:val="00507157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uk-UA"/>
    </w:rPr>
  </w:style>
  <w:style w:type="character" w:customStyle="1" w:styleId="fontstyle01">
    <w:name w:val="fontstyle01"/>
    <w:rsid w:val="00B5179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LO-normal">
    <w:name w:val="LO-normal"/>
    <w:qFormat/>
    <w:rsid w:val="00B5179B"/>
    <w:pPr>
      <w:widowControl w:val="0"/>
      <w:suppressAutoHyphens/>
    </w:pPr>
    <w:rPr>
      <w:rFonts w:ascii="Times New Roman" w:hAnsi="Times New Roman"/>
      <w:kern w:val="0"/>
      <w:lang w:val="ru-RU"/>
    </w:rPr>
  </w:style>
  <w:style w:type="character" w:customStyle="1" w:styleId="13">
    <w:name w:val="Виділення1"/>
    <w:uiPriority w:val="20"/>
    <w:qFormat/>
    <w:rsid w:val="00B5179B"/>
    <w:rPr>
      <w:i/>
      <w:iCs/>
    </w:rPr>
  </w:style>
  <w:style w:type="character" w:customStyle="1" w:styleId="fontstyle21">
    <w:name w:val="fontstyle21"/>
    <w:rsid w:val="00B5179B"/>
    <w:rPr>
      <w:rFonts w:ascii="CenturyGothic-Italic" w:hAnsi="CenturyGothic-Italic" w:hint="default"/>
      <w:b w:val="0"/>
      <w:bCs w:val="0"/>
      <w:i/>
      <w:iCs/>
      <w:color w:val="242021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F06DD"/>
    <w:rPr>
      <w:rFonts w:asciiTheme="majorHAnsi" w:eastAsiaTheme="majorEastAsia" w:hAnsiTheme="majorHAnsi" w:cs="Mangal"/>
      <w:b/>
      <w:bCs/>
      <w:color w:val="4F81BD" w:themeColor="accent1"/>
      <w:sz w:val="24"/>
      <w:szCs w:val="21"/>
    </w:rPr>
  </w:style>
  <w:style w:type="character" w:customStyle="1" w:styleId="ng-binding">
    <w:name w:val="ng-binding"/>
    <w:basedOn w:val="a0"/>
    <w:rsid w:val="006F06DD"/>
  </w:style>
  <w:style w:type="character" w:customStyle="1" w:styleId="text-break">
    <w:name w:val="text-break"/>
    <w:basedOn w:val="a0"/>
    <w:rsid w:val="006F06DD"/>
  </w:style>
  <w:style w:type="character" w:styleId="ae">
    <w:name w:val="Emphasis"/>
    <w:basedOn w:val="a0"/>
    <w:uiPriority w:val="20"/>
    <w:qFormat/>
    <w:rsid w:val="006F06DD"/>
    <w:rPr>
      <w:i/>
      <w:iCs/>
    </w:rPr>
  </w:style>
  <w:style w:type="paragraph" w:styleId="af">
    <w:name w:val="No Spacing"/>
    <w:aliases w:val="ТNR AMPU"/>
    <w:link w:val="af0"/>
    <w:uiPriority w:val="99"/>
    <w:qFormat/>
    <w:rsid w:val="00CE0927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kern w:val="0"/>
      <w:szCs w:val="20"/>
      <w:lang w:val="ru-RU" w:eastAsia="ja-JP" w:bidi="ar-SA"/>
    </w:rPr>
  </w:style>
  <w:style w:type="character" w:customStyle="1" w:styleId="af0">
    <w:name w:val="Без интервала Знак"/>
    <w:aliases w:val="ТNR AMPU Знак"/>
    <w:link w:val="af"/>
    <w:uiPriority w:val="99"/>
    <w:locked/>
    <w:rsid w:val="00CE0927"/>
    <w:rPr>
      <w:rFonts w:ascii="Times New Roman" w:eastAsia="MS Mincho" w:hAnsi="Times New Roman" w:cs="Times New Roman"/>
      <w:kern w:val="0"/>
      <w:szCs w:val="20"/>
      <w:lang w:val="ru-RU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zorro.gov.ua/tender/UA-2023-02-20-002260-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2023-01-27T11:06:00Z</dcterms:created>
  <dcterms:modified xsi:type="dcterms:W3CDTF">2025-01-23T09:34:00Z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