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  <w:r w:rsidR="000F180C" w:rsidRPr="000F180C">
        <w:t xml:space="preserve"> </w:t>
      </w:r>
    </w:p>
    <w:p w:rsidR="0091371E" w:rsidRDefault="00BC0FFF" w:rsidP="0091371E">
      <w:pPr>
        <w:snapToGrid w:val="0"/>
        <w:jc w:val="center"/>
        <w:rPr>
          <w:rFonts w:ascii="Arial" w:hAnsi="Arial" w:cs="Arial"/>
          <w:color w:val="242638"/>
        </w:rPr>
      </w:pPr>
      <w:r>
        <w:rPr>
          <w:rFonts w:ascii="Times New Roman" w:hAnsi="Times New Roman"/>
          <w:b/>
        </w:rPr>
        <w:t xml:space="preserve"> </w:t>
      </w:r>
      <w:r w:rsidR="0091371E" w:rsidRPr="0091371E">
        <w:rPr>
          <w:b/>
        </w:rPr>
        <w:t>Молоко питне для харчування дітей</w:t>
      </w:r>
    </w:p>
    <w:p w:rsidR="00923874" w:rsidRDefault="000F180C" w:rsidP="000F180C">
      <w:pPr>
        <w:snapToGrid w:val="0"/>
        <w:jc w:val="center"/>
        <w:rPr>
          <w:rFonts w:ascii="Times New Roman" w:hAnsi="Times New Roman"/>
        </w:rPr>
      </w:pPr>
      <w:r w:rsidRPr="00A25769">
        <w:rPr>
          <w:b/>
        </w:rPr>
        <w:t>Код  ДК 021:2015 15510000-6 Молоко та вершки</w:t>
      </w:r>
    </w:p>
    <w:p w:rsidR="00F30484" w:rsidRPr="000D45A0" w:rsidRDefault="00F30484" w:rsidP="00F30484">
      <w:pPr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</w:p>
    <w:p w:rsidR="00923874" w:rsidRDefault="00923874">
      <w:pPr>
        <w:snapToGrid w:val="0"/>
        <w:jc w:val="center"/>
        <w:rPr>
          <w:rFonts w:ascii="Times New Roman" w:hAnsi="Times New Roman"/>
          <w:b/>
        </w:rPr>
      </w:pP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Default="00923874">
      <w:pPr>
        <w:snapToGrid w:val="0"/>
        <w:rPr>
          <w:rFonts w:ascii="Times New Roman" w:hAnsi="Times New Roman"/>
          <w:b/>
        </w:rPr>
      </w:pPr>
    </w:p>
    <w:p w:rsidR="00923874" w:rsidRPr="00546ABD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bCs/>
          <w:color w:val="000000"/>
          <w:lang w:eastAsia="uk-UA"/>
        </w:rPr>
        <w:t>Предмет закупівлі:</w:t>
      </w:r>
      <w:r w:rsidRPr="00546ABD">
        <w:rPr>
          <w:rFonts w:ascii="Times New Roman" w:hAnsi="Times New Roman" w:cs="Times New Roman"/>
          <w:color w:val="000000"/>
          <w:lang w:eastAsia="uk-UA"/>
        </w:rPr>
        <w:t xml:space="preserve"> </w:t>
      </w:r>
      <w:r w:rsidR="0091371E" w:rsidRPr="0091371E">
        <w:rPr>
          <w:b/>
        </w:rPr>
        <w:t>Молоко питне для харчування дітей</w:t>
      </w:r>
      <w:r w:rsidR="000F180C" w:rsidRPr="00546ABD">
        <w:rPr>
          <w:rFonts w:ascii="Times New Roman" w:hAnsi="Times New Roman" w:cs="Times New Roman"/>
        </w:rPr>
        <w:t xml:space="preserve"> (  Код  ДК 021:2015 15510000-6 Молоко та вершки</w:t>
      </w:r>
    </w:p>
    <w:p w:rsidR="009167BB" w:rsidRPr="009167BB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Кількість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</w:p>
    <w:p w:rsidR="00923874" w:rsidRPr="009167BB" w:rsidRDefault="009167BB" w:rsidP="009167BB">
      <w:pPr>
        <w:shd w:val="clear" w:color="auto" w:fill="FFFFFF"/>
        <w:suppressAutoHyphens/>
        <w:ind w:left="567"/>
        <w:jc w:val="both"/>
        <w:rPr>
          <w:rFonts w:ascii="Times New Roman" w:hAnsi="Times New Roman" w:cs="Times New Roman"/>
        </w:rPr>
      </w:pPr>
      <w:r w:rsidRPr="00710FDF">
        <w:t xml:space="preserve">100 </w:t>
      </w:r>
      <w:proofErr w:type="spellStart"/>
      <w:r w:rsidRPr="00710FDF">
        <w:t>грамм</w:t>
      </w:r>
      <w:proofErr w:type="spellEnd"/>
      <w:r w:rsidRPr="00710FDF">
        <w:t xml:space="preserve"> Кількість –</w:t>
      </w:r>
      <w:r w:rsidR="0027301D" w:rsidRPr="0027301D">
        <w:rPr>
          <w:rFonts w:ascii="Times New Roman" w:hAnsi="Times New Roman"/>
          <w:i/>
        </w:rPr>
        <w:t xml:space="preserve"> </w:t>
      </w:r>
      <w:r w:rsidR="0091371E">
        <w:rPr>
          <w:rFonts w:ascii="Times New Roman" w:hAnsi="Times New Roman"/>
          <w:i/>
        </w:rPr>
        <w:t>210</w:t>
      </w:r>
      <w:r w:rsidR="0027301D">
        <w:rPr>
          <w:rFonts w:ascii="Times New Roman" w:hAnsi="Times New Roman"/>
          <w:i/>
        </w:rPr>
        <w:t>,</w:t>
      </w:r>
      <w:r w:rsidR="0091371E">
        <w:rPr>
          <w:rFonts w:ascii="Times New Roman" w:hAnsi="Times New Roman"/>
          <w:i/>
        </w:rPr>
        <w:t>0</w:t>
      </w:r>
      <w:r w:rsidR="0027301D">
        <w:rPr>
          <w:rFonts w:ascii="Times New Roman" w:hAnsi="Times New Roman"/>
          <w:i/>
        </w:rPr>
        <w:t xml:space="preserve"> кг,</w:t>
      </w:r>
      <w:r w:rsidR="0027301D">
        <w:t xml:space="preserve">  (</w:t>
      </w:r>
      <w:r w:rsidR="0091371E">
        <w:t>2100</w:t>
      </w:r>
      <w:r w:rsidR="0027301D">
        <w:t xml:space="preserve"> шт.)</w:t>
      </w:r>
      <w:r w:rsidR="00485397" w:rsidRPr="00710FDF">
        <w:rPr>
          <w:rFonts w:ascii="Times New Roman" w:hAnsi="Times New Roman"/>
          <w:lang w:eastAsia="ru-RU"/>
        </w:rPr>
        <w:t>.</w:t>
      </w:r>
    </w:p>
    <w:p w:rsidR="009167BB" w:rsidRPr="00546ABD" w:rsidRDefault="009167BB" w:rsidP="009167BB">
      <w:pPr>
        <w:shd w:val="clear" w:color="auto" w:fill="FFFFFF"/>
        <w:suppressAutoHyphens/>
        <w:ind w:left="567"/>
        <w:jc w:val="both"/>
        <w:rPr>
          <w:rFonts w:ascii="Times New Roman" w:hAnsi="Times New Roman" w:cs="Times New Roman"/>
        </w:rPr>
      </w:pPr>
      <w:r w:rsidRPr="00710FDF">
        <w:t xml:space="preserve">200 </w:t>
      </w:r>
      <w:proofErr w:type="spellStart"/>
      <w:r w:rsidRPr="00710FDF">
        <w:t>грамм</w:t>
      </w:r>
      <w:proofErr w:type="spellEnd"/>
      <w:r w:rsidRPr="00710FDF">
        <w:t xml:space="preserve"> Кількість – </w:t>
      </w:r>
      <w:r w:rsidR="0091371E">
        <w:rPr>
          <w:rFonts w:ascii="Times New Roman" w:hAnsi="Times New Roman"/>
          <w:i/>
        </w:rPr>
        <w:t>840</w:t>
      </w:r>
      <w:r w:rsidR="0027301D">
        <w:rPr>
          <w:rFonts w:ascii="Times New Roman" w:hAnsi="Times New Roman"/>
          <w:i/>
        </w:rPr>
        <w:t>,</w:t>
      </w:r>
      <w:r w:rsidR="0091371E">
        <w:rPr>
          <w:rFonts w:ascii="Times New Roman" w:hAnsi="Times New Roman"/>
          <w:i/>
        </w:rPr>
        <w:t>0</w:t>
      </w:r>
      <w:r w:rsidR="0027301D">
        <w:rPr>
          <w:rFonts w:ascii="Times New Roman" w:hAnsi="Times New Roman"/>
          <w:i/>
        </w:rPr>
        <w:t xml:space="preserve"> кг</w:t>
      </w:r>
      <w:r w:rsidR="0027301D">
        <w:t xml:space="preserve">  (</w:t>
      </w:r>
      <w:r w:rsidR="0091371E">
        <w:t>4200</w:t>
      </w:r>
      <w:r w:rsidR="0027301D">
        <w:t xml:space="preserve"> шт.)</w:t>
      </w:r>
    </w:p>
    <w:p w:rsidR="00923874" w:rsidRPr="009167BB" w:rsidRDefault="00BC0FFF" w:rsidP="009167BB">
      <w:pPr>
        <w:pStyle w:val="ab"/>
        <w:numPr>
          <w:ilvl w:val="0"/>
          <w:numId w:val="4"/>
        </w:numPr>
        <w:spacing w:after="0"/>
        <w:ind w:left="567" w:hanging="567"/>
        <w:jc w:val="both"/>
        <w:rPr>
          <w:rFonts w:ascii="Times New Roman" w:hAnsi="Times New Roman" w:cs="Times New Roman"/>
          <w:i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Місце поставки 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426D26" w:rsidRPr="009167BB">
        <w:rPr>
          <w:rFonts w:ascii="Times New Roman" w:hAnsi="Times New Roman" w:cs="Times New Roman"/>
          <w:i/>
        </w:rPr>
        <w:t xml:space="preserve">61172, Україна, Харківська обл.,  </w:t>
      </w:r>
      <w:proofErr w:type="spellStart"/>
      <w:r w:rsidR="00426D26" w:rsidRPr="009167BB">
        <w:rPr>
          <w:rFonts w:ascii="Times New Roman" w:hAnsi="Times New Roman" w:cs="Times New Roman"/>
          <w:i/>
        </w:rPr>
        <w:t>м.Харків</w:t>
      </w:r>
      <w:proofErr w:type="spellEnd"/>
      <w:r w:rsidR="00426D26" w:rsidRPr="009167BB">
        <w:rPr>
          <w:rFonts w:ascii="Times New Roman" w:hAnsi="Times New Roman" w:cs="Times New Roman"/>
          <w:i/>
        </w:rPr>
        <w:t xml:space="preserve">, </w:t>
      </w:r>
      <w:proofErr w:type="spellStart"/>
      <w:r w:rsidR="00426D26" w:rsidRPr="009167BB">
        <w:rPr>
          <w:rFonts w:ascii="Times New Roman" w:hAnsi="Times New Roman" w:cs="Times New Roman"/>
          <w:i/>
        </w:rPr>
        <w:t>вул</w:t>
      </w:r>
      <w:proofErr w:type="spellEnd"/>
      <w:r w:rsidR="00426D26" w:rsidRPr="009167BB">
        <w:rPr>
          <w:rFonts w:ascii="Times New Roman" w:hAnsi="Times New Roman" w:cs="Times New Roman"/>
          <w:i/>
        </w:rPr>
        <w:t xml:space="preserve"> </w:t>
      </w:r>
      <w:proofErr w:type="spellStart"/>
      <w:r w:rsidR="00426D26" w:rsidRPr="009167BB">
        <w:rPr>
          <w:rFonts w:ascii="Times New Roman" w:hAnsi="Times New Roman" w:cs="Times New Roman"/>
          <w:i/>
        </w:rPr>
        <w:t>Роганська</w:t>
      </w:r>
      <w:proofErr w:type="spellEnd"/>
      <w:r w:rsidR="00426D26" w:rsidRPr="009167BB">
        <w:rPr>
          <w:rFonts w:ascii="Times New Roman" w:hAnsi="Times New Roman" w:cs="Times New Roman"/>
          <w:i/>
        </w:rPr>
        <w:t xml:space="preserve">, 130-А, Індустріальний район </w:t>
      </w:r>
    </w:p>
    <w:p w:rsidR="00923874" w:rsidRPr="00546ABD" w:rsidRDefault="00BC0FFF" w:rsidP="009167BB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 xml:space="preserve">Строк поставки </w:t>
      </w:r>
      <w:r w:rsidRPr="00546ABD">
        <w:rPr>
          <w:rFonts w:ascii="Times New Roman" w:hAnsi="Times New Roman" w:cs="Times New Roman"/>
          <w:color w:val="000000"/>
          <w:highlight w:val="white"/>
          <w:u w:val="single"/>
        </w:rPr>
        <w:t>товару</w:t>
      </w:r>
      <w:r w:rsidRPr="00546ABD">
        <w:rPr>
          <w:rFonts w:ascii="Times New Roman" w:hAnsi="Times New Roman" w:cs="Times New Roman"/>
          <w:color w:val="000000"/>
          <w:highlight w:val="white"/>
        </w:rPr>
        <w:t xml:space="preserve">/робіт/послуг: 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>з 01.01.202</w:t>
      </w:r>
      <w:r w:rsidR="0091371E">
        <w:rPr>
          <w:rFonts w:ascii="Times New Roman" w:eastAsia="Arial" w:hAnsi="Times New Roman"/>
          <w:color w:val="000000"/>
          <w:kern w:val="3"/>
          <w:lang w:eastAsia="uk-UA"/>
        </w:rPr>
        <w:t>6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 xml:space="preserve"> року по 31.12.202</w:t>
      </w:r>
      <w:r w:rsidR="0091371E">
        <w:rPr>
          <w:rFonts w:ascii="Times New Roman" w:eastAsia="Arial" w:hAnsi="Times New Roman"/>
          <w:color w:val="000000"/>
          <w:kern w:val="3"/>
          <w:lang w:eastAsia="uk-UA"/>
        </w:rPr>
        <w:t>6</w:t>
      </w:r>
      <w:r w:rsidR="009167BB" w:rsidRPr="007C431B">
        <w:rPr>
          <w:rFonts w:ascii="Times New Roman" w:eastAsia="Arial" w:hAnsi="Times New Roman"/>
          <w:color w:val="000000"/>
          <w:kern w:val="3"/>
          <w:lang w:eastAsia="uk-UA"/>
        </w:rPr>
        <w:t xml:space="preserve"> року.</w:t>
      </w:r>
    </w:p>
    <w:p w:rsidR="00923874" w:rsidRPr="00546ABD" w:rsidRDefault="00BC0FFF" w:rsidP="009167BB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  <w:rPr>
          <w:rFonts w:cs="Times New Roman"/>
        </w:rPr>
      </w:pPr>
      <w:r w:rsidRPr="00546ABD">
        <w:rPr>
          <w:rStyle w:val="rvts0"/>
          <w:rFonts w:cs="Times New Roman"/>
          <w:iCs/>
          <w:szCs w:val="24"/>
          <w:highlight w:val="white"/>
        </w:rPr>
        <w:t xml:space="preserve">Джерело фінансування – </w:t>
      </w:r>
      <w:r w:rsidR="00426D26" w:rsidRPr="00546ABD">
        <w:rPr>
          <w:rStyle w:val="rvts0"/>
          <w:rFonts w:cs="Times New Roman"/>
          <w:iCs/>
          <w:szCs w:val="24"/>
          <w:highlight w:val="white"/>
        </w:rPr>
        <w:t>місцевий бюджет</w:t>
      </w:r>
      <w:r w:rsidRPr="00546ABD">
        <w:rPr>
          <w:rStyle w:val="rvts0"/>
          <w:rFonts w:cs="Times New Roman"/>
          <w:iCs/>
          <w:szCs w:val="24"/>
          <w:highlight w:val="white"/>
        </w:rPr>
        <w:t>.</w:t>
      </w:r>
    </w:p>
    <w:p w:rsidR="00923874" w:rsidRPr="00546ABD" w:rsidRDefault="00BC0FFF" w:rsidP="009167BB">
      <w:pPr>
        <w:shd w:val="clear" w:color="auto" w:fill="FFFFFF"/>
        <w:suppressAutoHyphens/>
        <w:ind w:left="567"/>
        <w:jc w:val="both"/>
        <w:rPr>
          <w:rFonts w:ascii="Times New Roman" w:hAnsi="Times New Roman" w:cs="Times New Roman"/>
        </w:rPr>
      </w:pPr>
      <w:r w:rsidRPr="00546ABD">
        <w:rPr>
          <w:rFonts w:ascii="Times New Roman" w:hAnsi="Times New Roman" w:cs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167BB" w:rsidRPr="009167BB" w:rsidRDefault="00546ABD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/>
        </w:rPr>
        <w:t xml:space="preserve">Очікувана вартість закупівлі </w:t>
      </w:r>
      <w:r w:rsidR="009167BB">
        <w:rPr>
          <w:rFonts w:ascii="Times New Roman" w:hAnsi="Times New Roman"/>
          <w:i/>
        </w:rPr>
        <w:t>1</w:t>
      </w:r>
      <w:r w:rsidR="0091371E">
        <w:rPr>
          <w:rFonts w:ascii="Times New Roman" w:hAnsi="Times New Roman"/>
          <w:i/>
        </w:rPr>
        <w:t>56</w:t>
      </w:r>
      <w:r w:rsidR="009167BB">
        <w:rPr>
          <w:rFonts w:ascii="Times New Roman" w:hAnsi="Times New Roman"/>
          <w:i/>
        </w:rPr>
        <w:t xml:space="preserve"> </w:t>
      </w:r>
      <w:r w:rsidR="0091371E">
        <w:rPr>
          <w:rFonts w:ascii="Times New Roman" w:hAnsi="Times New Roman"/>
          <w:i/>
        </w:rPr>
        <w:t>030</w:t>
      </w:r>
      <w:r w:rsidR="009167BB">
        <w:rPr>
          <w:rFonts w:ascii="Times New Roman" w:hAnsi="Times New Roman"/>
          <w:i/>
        </w:rPr>
        <w:t>,90</w:t>
      </w:r>
      <w:r w:rsidR="009167BB" w:rsidRPr="00977664">
        <w:rPr>
          <w:rFonts w:ascii="Times New Roman" w:hAnsi="Times New Roman"/>
          <w:i/>
        </w:rPr>
        <w:t xml:space="preserve"> грн.(</w:t>
      </w:r>
      <w:r w:rsidR="009167BB">
        <w:rPr>
          <w:rFonts w:ascii="Times New Roman" w:hAnsi="Times New Roman"/>
          <w:i/>
        </w:rPr>
        <w:t>Сто п’ят</w:t>
      </w:r>
      <w:r w:rsidR="0091371E">
        <w:rPr>
          <w:rFonts w:ascii="Times New Roman" w:hAnsi="Times New Roman"/>
          <w:i/>
        </w:rPr>
        <w:t xml:space="preserve">десят шість </w:t>
      </w:r>
      <w:r w:rsidR="009167BB">
        <w:rPr>
          <w:rFonts w:ascii="Times New Roman" w:hAnsi="Times New Roman"/>
          <w:i/>
        </w:rPr>
        <w:t xml:space="preserve"> тисяч тридцять </w:t>
      </w:r>
      <w:r w:rsidR="009167BB" w:rsidRPr="00977664">
        <w:rPr>
          <w:rFonts w:ascii="Times New Roman" w:hAnsi="Times New Roman"/>
          <w:i/>
        </w:rPr>
        <w:t>грив</w:t>
      </w:r>
      <w:r w:rsidR="009167BB">
        <w:rPr>
          <w:rFonts w:ascii="Times New Roman" w:hAnsi="Times New Roman"/>
          <w:i/>
        </w:rPr>
        <w:t>е</w:t>
      </w:r>
      <w:r w:rsidR="009167BB" w:rsidRPr="00977664">
        <w:rPr>
          <w:rFonts w:ascii="Times New Roman" w:hAnsi="Times New Roman"/>
          <w:i/>
        </w:rPr>
        <w:t>н</w:t>
      </w:r>
      <w:r w:rsidR="009167BB">
        <w:rPr>
          <w:rFonts w:ascii="Times New Roman" w:hAnsi="Times New Roman"/>
          <w:i/>
        </w:rPr>
        <w:t>ь</w:t>
      </w:r>
      <w:r w:rsidR="009167BB" w:rsidRPr="00977664">
        <w:rPr>
          <w:rFonts w:ascii="Times New Roman" w:hAnsi="Times New Roman"/>
          <w:i/>
        </w:rPr>
        <w:t xml:space="preserve"> </w:t>
      </w:r>
      <w:r w:rsidR="0091371E">
        <w:rPr>
          <w:rFonts w:ascii="Times New Roman" w:hAnsi="Times New Roman"/>
          <w:i/>
        </w:rPr>
        <w:t>0</w:t>
      </w:r>
      <w:r w:rsidR="009167BB" w:rsidRPr="00977664">
        <w:rPr>
          <w:rFonts w:ascii="Times New Roman" w:hAnsi="Times New Roman"/>
          <w:i/>
        </w:rPr>
        <w:t>0 копійок)</w:t>
      </w:r>
    </w:p>
    <w:p w:rsidR="00923874" w:rsidRPr="0091371E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9167BB">
        <w:rPr>
          <w:rFonts w:ascii="Times New Roman" w:hAnsi="Times New Roman" w:cs="Times New Roman"/>
          <w:bCs/>
          <w:color w:val="000000"/>
          <w:highlight w:val="white"/>
        </w:rPr>
        <w:t>Інформація про технічні, якісні та інші характеристики предмета закупівлі</w:t>
      </w:r>
      <w:r w:rsidRPr="009167BB">
        <w:rPr>
          <w:rFonts w:ascii="Times New Roman" w:hAnsi="Times New Roman" w:cs="C059"/>
          <w:b/>
          <w:bCs/>
          <w:color w:val="000000"/>
          <w:highlight w:val="white"/>
        </w:rPr>
        <w:t>:</w:t>
      </w:r>
    </w:p>
    <w:p w:rsidR="0091371E" w:rsidRPr="0091371E" w:rsidRDefault="0091371E" w:rsidP="0091371E">
      <w:pPr>
        <w:shd w:val="clear" w:color="auto" w:fill="FFFFFF"/>
        <w:suppressAutoHyphens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 w:cs="C059"/>
          <w:b/>
          <w:bCs/>
          <w:color w:val="000000"/>
        </w:rPr>
        <w:t xml:space="preserve"> </w:t>
      </w:r>
    </w:p>
    <w:tbl>
      <w:tblPr>
        <w:tblW w:w="10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2646"/>
        <w:gridCol w:w="2129"/>
        <w:gridCol w:w="1948"/>
        <w:gridCol w:w="1276"/>
        <w:gridCol w:w="209"/>
      </w:tblGrid>
      <w:tr w:rsidR="0091371E" w:rsidRPr="0091371E" w:rsidTr="0091371E">
        <w:trPr>
          <w:gridAfter w:val="1"/>
          <w:wAfter w:w="209" w:type="dxa"/>
          <w:tblHeader/>
        </w:trPr>
        <w:tc>
          <w:tcPr>
            <w:tcW w:w="1924" w:type="dxa"/>
            <w:shd w:val="clear" w:color="auto" w:fill="FFFFFF"/>
            <w:tcMar>
              <w:top w:w="180" w:type="dxa"/>
              <w:left w:w="0" w:type="dxa"/>
              <w:bottom w:w="180" w:type="dxa"/>
              <w:right w:w="120" w:type="dxa"/>
            </w:tcMar>
            <w:vAlign w:val="center"/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Назва</w:t>
            </w:r>
            <w:proofErr w:type="spellEnd"/>
          </w:p>
        </w:tc>
        <w:tc>
          <w:tcPr>
            <w:tcW w:w="2646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Класифікатор</w:t>
            </w:r>
            <w:proofErr w:type="spell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та </w:t>
            </w:r>
            <w:proofErr w:type="spellStart"/>
            <w:proofErr w:type="gram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його</w:t>
            </w:r>
            <w:proofErr w:type="spell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в</w:t>
            </w:r>
            <w:proofErr w:type="gram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ідповідний</w:t>
            </w:r>
            <w:proofErr w:type="spell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код</w:t>
            </w:r>
          </w:p>
        </w:tc>
        <w:tc>
          <w:tcPr>
            <w:tcW w:w="2129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Кількість</w:t>
            </w:r>
            <w:proofErr w:type="spell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/</w:t>
            </w: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Одиниці</w:t>
            </w:r>
            <w:proofErr w:type="spell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виміру</w:t>
            </w:r>
            <w:proofErr w:type="spellEnd"/>
          </w:p>
        </w:tc>
        <w:tc>
          <w:tcPr>
            <w:tcW w:w="1948" w:type="dxa"/>
            <w:shd w:val="clear" w:color="auto" w:fill="FFFFFF"/>
            <w:tcMar>
              <w:top w:w="180" w:type="dxa"/>
              <w:left w:w="120" w:type="dxa"/>
              <w:bottom w:w="180" w:type="dxa"/>
              <w:right w:w="120" w:type="dxa"/>
            </w:tcMar>
            <w:vAlign w:val="center"/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proofErr w:type="spellStart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Місце</w:t>
            </w:r>
            <w:proofErr w:type="spellEnd"/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поставки</w:t>
            </w:r>
          </w:p>
        </w:tc>
        <w:tc>
          <w:tcPr>
            <w:tcW w:w="1276" w:type="dxa"/>
            <w:shd w:val="clear" w:color="auto" w:fill="FFFFFF"/>
            <w:tcMar>
              <w:top w:w="180" w:type="dxa"/>
              <w:left w:w="120" w:type="dxa"/>
              <w:bottom w:w="180" w:type="dxa"/>
              <w:right w:w="0" w:type="dxa"/>
            </w:tcMar>
            <w:vAlign w:val="center"/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b/>
                <w:bCs/>
                <w:color w:val="242638"/>
                <w:kern w:val="0"/>
                <w:sz w:val="21"/>
                <w:szCs w:val="21"/>
                <w:lang w:val="ru-RU" w:eastAsia="ru-RU" w:bidi="ar-SA"/>
              </w:rPr>
              <w:t>Дата поставки</w:t>
            </w:r>
          </w:p>
        </w:tc>
      </w:tr>
      <w:tr w:rsidR="0091371E" w:rsidRPr="0091371E" w:rsidTr="0091371E">
        <w:tc>
          <w:tcPr>
            <w:tcW w:w="1924" w:type="dxa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Молоко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питне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для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харчування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дітей</w:t>
            </w:r>
            <w:proofErr w:type="spellEnd"/>
          </w:p>
        </w:tc>
        <w:tc>
          <w:tcPr>
            <w:tcW w:w="2646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ДК 021:2015: 15510000-6 — Молоко та вершки</w:t>
            </w:r>
          </w:p>
        </w:tc>
        <w:tc>
          <w:tcPr>
            <w:tcW w:w="2129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210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кілограм</w:t>
            </w:r>
            <w:proofErr w:type="spellEnd"/>
          </w:p>
        </w:tc>
        <w:tc>
          <w:tcPr>
            <w:tcW w:w="1948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61172,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Україна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Харківська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область,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ВУЛИЦЯ РОГАНСЬКА,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будинок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130</w:t>
            </w:r>
            <w:proofErr w:type="gram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А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з 1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січня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2026до 31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грудня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  <w:tr w:rsidR="0091371E" w:rsidRPr="0091371E" w:rsidTr="0091371E">
        <w:tc>
          <w:tcPr>
            <w:tcW w:w="10132" w:type="dxa"/>
            <w:gridSpan w:val="6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  <w:tr w:rsidR="0091371E" w:rsidRPr="0091371E" w:rsidTr="0091371E">
        <w:tc>
          <w:tcPr>
            <w:tcW w:w="1924" w:type="dxa"/>
            <w:shd w:val="clear" w:color="auto" w:fill="FFFFFF"/>
            <w:tcMar>
              <w:top w:w="240" w:type="dxa"/>
              <w:left w:w="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Молоко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питне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для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харчування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дітей</w:t>
            </w:r>
            <w:proofErr w:type="spellEnd"/>
          </w:p>
        </w:tc>
        <w:tc>
          <w:tcPr>
            <w:tcW w:w="2646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ДК 021:2015: 15510000-6 — Молоко та вершки</w:t>
            </w:r>
          </w:p>
        </w:tc>
        <w:tc>
          <w:tcPr>
            <w:tcW w:w="2129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840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кілограм</w:t>
            </w:r>
            <w:proofErr w:type="spellEnd"/>
          </w:p>
        </w:tc>
        <w:tc>
          <w:tcPr>
            <w:tcW w:w="1948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61172,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Україна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Харківська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область,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Харків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, ВУЛИЦЯ РОГАНСЬКА,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будинок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130</w:t>
            </w:r>
            <w:proofErr w:type="gram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А</w:t>
            </w:r>
            <w:proofErr w:type="gramEnd"/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з 1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січня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2026до 31 </w:t>
            </w:r>
            <w:proofErr w:type="spellStart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>грудня</w:t>
            </w:r>
            <w:proofErr w:type="spellEnd"/>
            <w:r w:rsidRPr="0091371E"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  <w:t xml:space="preserve"> 2026</w:t>
            </w:r>
          </w:p>
        </w:tc>
        <w:tc>
          <w:tcPr>
            <w:tcW w:w="0" w:type="auto"/>
            <w:shd w:val="clear" w:color="auto" w:fill="FFFFFF"/>
            <w:tcMar>
              <w:top w:w="240" w:type="dxa"/>
              <w:left w:w="120" w:type="dxa"/>
              <w:bottom w:w="240" w:type="dxa"/>
              <w:right w:w="60" w:type="dxa"/>
            </w:tcMar>
            <w:hideMark/>
          </w:tcPr>
          <w:p w:rsidR="0091371E" w:rsidRPr="0091371E" w:rsidRDefault="0091371E" w:rsidP="0091371E">
            <w:pPr>
              <w:spacing w:line="300" w:lineRule="atLeast"/>
              <w:rPr>
                <w:rFonts w:ascii="Arial" w:eastAsia="Times New Roman" w:hAnsi="Arial" w:cs="Arial"/>
                <w:color w:val="242638"/>
                <w:kern w:val="0"/>
                <w:sz w:val="21"/>
                <w:szCs w:val="21"/>
                <w:lang w:val="ru-RU" w:eastAsia="ru-RU" w:bidi="ar-SA"/>
              </w:rPr>
            </w:pPr>
          </w:p>
        </w:tc>
      </w:tr>
    </w:tbl>
    <w:p w:rsidR="0091371E" w:rsidRPr="0091371E" w:rsidRDefault="0091371E" w:rsidP="0091371E">
      <w:pPr>
        <w:shd w:val="clear" w:color="auto" w:fill="FFFFFF"/>
        <w:suppressAutoHyphens/>
        <w:ind w:left="567"/>
        <w:jc w:val="both"/>
        <w:rPr>
          <w:rFonts w:ascii="Times New Roman" w:hAnsi="Times New Roman"/>
        </w:rPr>
      </w:pPr>
    </w:p>
    <w:p w:rsidR="0091371E" w:rsidRPr="0027301D" w:rsidRDefault="0091371E" w:rsidP="0091371E">
      <w:pPr>
        <w:shd w:val="clear" w:color="auto" w:fill="FFFFFF"/>
        <w:suppressAutoHyphens/>
        <w:ind w:left="567"/>
        <w:jc w:val="both"/>
        <w:rPr>
          <w:rFonts w:ascii="Times New Roman" w:hAnsi="Times New Roman"/>
        </w:rPr>
      </w:pPr>
    </w:p>
    <w:p w:rsidR="0027301D" w:rsidRPr="0027301D" w:rsidRDefault="0027301D" w:rsidP="0027301D">
      <w:pPr>
        <w:shd w:val="clear" w:color="auto" w:fill="FFFFFF"/>
        <w:suppressAutoHyphens/>
        <w:ind w:left="567"/>
        <w:jc w:val="both"/>
        <w:rPr>
          <w:rFonts w:ascii="Times New Roman" w:hAnsi="Times New Roman"/>
          <w:lang w:val="ru-RU"/>
        </w:rPr>
      </w:pPr>
    </w:p>
    <w:p w:rsidR="009167BB" w:rsidRPr="009167BB" w:rsidRDefault="009167BB" w:rsidP="009167BB">
      <w:pPr>
        <w:shd w:val="clear" w:color="auto" w:fill="FFFFFF"/>
        <w:suppressAutoHyphens/>
        <w:ind w:left="567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Ідентифікатор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закупівлі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="009E7127" w:rsidRPr="009E7127">
        <w:rPr>
          <w:rFonts w:ascii="Arial" w:hAnsi="Arial" w:cs="Arial" w:hint="eastAsia"/>
          <w:color w:val="454545"/>
          <w:sz w:val="21"/>
          <w:szCs w:val="21"/>
          <w:shd w:val="clear" w:color="auto" w:fill="F0F5F2"/>
        </w:rPr>
        <w:t>UA-2025-12-09-010616-a</w:t>
      </w:r>
      <w:bookmarkStart w:id="1" w:name="_GoBack"/>
      <w:bookmarkEnd w:id="1"/>
    </w:p>
    <w:sectPr w:rsidR="009167BB" w:rsidRPr="009167B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7792F7B"/>
    <w:multiLevelType w:val="hybridMultilevel"/>
    <w:tmpl w:val="3B7C6C46"/>
    <w:lvl w:ilvl="0" w:tplc="8826C55E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37F72DFC"/>
    <w:multiLevelType w:val="hybridMultilevel"/>
    <w:tmpl w:val="55BEF2E8"/>
    <w:lvl w:ilvl="0" w:tplc="70C6DC6E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D45A0"/>
    <w:rsid w:val="000F180C"/>
    <w:rsid w:val="00123EE4"/>
    <w:rsid w:val="0027301D"/>
    <w:rsid w:val="00426D26"/>
    <w:rsid w:val="00485397"/>
    <w:rsid w:val="00502C8D"/>
    <w:rsid w:val="005368A4"/>
    <w:rsid w:val="00546ABD"/>
    <w:rsid w:val="007B7A9D"/>
    <w:rsid w:val="0080415E"/>
    <w:rsid w:val="0091371E"/>
    <w:rsid w:val="009167BB"/>
    <w:rsid w:val="00923874"/>
    <w:rsid w:val="009E7127"/>
    <w:rsid w:val="00BC0FFF"/>
    <w:rsid w:val="00F3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e">
    <w:name w:val="Без интервала Знак"/>
    <w:link w:val="ad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9137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basedOn w:val="a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c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d">
    <w:name w:val="No Spacing"/>
    <w:link w:val="ae"/>
    <w:uiPriority w:val="1"/>
    <w:qFormat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customStyle="1" w:styleId="21">
    <w:name w:val="Основной текст с отступом 21"/>
    <w:basedOn w:val="a"/>
    <w:rsid w:val="000F180C"/>
    <w:pPr>
      <w:widowControl w:val="0"/>
      <w:suppressAutoHyphens/>
      <w:spacing w:after="120" w:line="480" w:lineRule="auto"/>
      <w:ind w:left="283"/>
    </w:pPr>
    <w:rPr>
      <w:rFonts w:ascii="Times New Roman CYR" w:eastAsia="Times New Roman" w:hAnsi="Times New Roman CYR" w:cs="Times New Roman CYR"/>
      <w:kern w:val="1"/>
      <w:lang w:eastAsia="hi-IN"/>
    </w:rPr>
  </w:style>
  <w:style w:type="character" w:customStyle="1" w:styleId="ae">
    <w:name w:val="Без интервала Знак"/>
    <w:link w:val="ad"/>
    <w:uiPriority w:val="1"/>
    <w:rsid w:val="000F180C"/>
    <w:rPr>
      <w:rFonts w:ascii="Times New Roman" w:eastAsia="Times New Roman" w:hAnsi="Times New Roman" w:cs="Times New Roman"/>
      <w:kern w:val="0"/>
      <w:sz w:val="28"/>
      <w:szCs w:val="28"/>
      <w:lang w:val="ru-RU" w:eastAsia="ru-RU" w:bidi="ar-SA"/>
    </w:rPr>
  </w:style>
  <w:style w:type="paragraph" w:styleId="22">
    <w:name w:val="List 2"/>
    <w:basedOn w:val="a"/>
    <w:uiPriority w:val="99"/>
    <w:semiHidden/>
    <w:unhideWhenUsed/>
    <w:rsid w:val="00485397"/>
    <w:pPr>
      <w:ind w:left="566" w:hanging="283"/>
      <w:contextualSpacing/>
    </w:pPr>
    <w:rPr>
      <w:rFonts w:cs="Mangal"/>
      <w:szCs w:val="21"/>
    </w:rPr>
  </w:style>
  <w:style w:type="character" w:customStyle="1" w:styleId="d-inline-flex">
    <w:name w:val="d-inline-flex"/>
    <w:basedOn w:val="a0"/>
    <w:rsid w:val="0091371E"/>
  </w:style>
  <w:style w:type="character" w:customStyle="1" w:styleId="mr-1">
    <w:name w:val="mr-1"/>
    <w:basedOn w:val="a0"/>
    <w:rsid w:val="0091371E"/>
  </w:style>
  <w:style w:type="character" w:customStyle="1" w:styleId="20">
    <w:name w:val="Заголовок 2 Знак"/>
    <w:basedOn w:val="a0"/>
    <w:link w:val="2"/>
    <w:uiPriority w:val="9"/>
    <w:rsid w:val="0091371E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2022-08-25T08:47:00Z</dcterms:created>
  <dcterms:modified xsi:type="dcterms:W3CDTF">2025-12-09T11:20:00Z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